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2C22E">
      <w:pPr>
        <w:widowControl w:val="0"/>
        <w:kinsoku/>
        <w:snapToGrid/>
        <w:textAlignment w:val="auto"/>
        <w:rPr>
          <w:rFonts w:ascii="黑体" w:hAnsi="黑体" w:eastAsia="黑体" w:cs="仿宋_GB2312"/>
          <w:snapToGrid/>
          <w:color w:val="000000" w:themeColor="text1"/>
          <w:kern w:val="2"/>
          <w:sz w:val="32"/>
          <w:szCs w:val="32"/>
          <w14:textFill>
            <w14:solidFill>
              <w14:schemeClr w14:val="tx1"/>
            </w14:solidFill>
          </w14:textFill>
        </w:rPr>
      </w:pPr>
      <w:r>
        <w:rPr>
          <w:rFonts w:hint="eastAsia" w:ascii="黑体" w:hAnsi="黑体" w:eastAsia="黑体" w:cs="仿宋_GB2312"/>
          <w:snapToGrid/>
          <w:color w:val="000000" w:themeColor="text1"/>
          <w:kern w:val="2"/>
          <w:sz w:val="32"/>
          <w:szCs w:val="32"/>
          <w14:textFill>
            <w14:solidFill>
              <w14:schemeClr w14:val="tx1"/>
            </w14:solidFill>
          </w14:textFill>
        </w:rPr>
        <w:t>附件</w:t>
      </w:r>
      <w:r>
        <w:rPr>
          <w:rFonts w:hint="default" w:ascii="Times New Roman" w:hAnsi="Times New Roman" w:eastAsia="黑体" w:cs="Times New Roman"/>
          <w:snapToGrid/>
          <w:color w:val="000000" w:themeColor="text1"/>
          <w:kern w:val="2"/>
          <w:sz w:val="32"/>
          <w:szCs w:val="32"/>
          <w14:textFill>
            <w14:solidFill>
              <w14:schemeClr w14:val="tx1"/>
            </w14:solidFill>
          </w14:textFill>
        </w:rPr>
        <w:t>1</w:t>
      </w:r>
    </w:p>
    <w:p w14:paraId="15052DC7">
      <w:pPr>
        <w:widowControl w:val="0"/>
        <w:kinsoku/>
        <w:snapToGrid/>
        <w:spacing w:after="240"/>
        <w:jc w:val="center"/>
        <w:textAlignment w:val="auto"/>
        <w:rPr>
          <w:rFonts w:ascii="方正小标宋简体" w:hAnsi="方正小标宋简体" w:eastAsia="方正小标宋简体" w:cs="Helvetica Neue"/>
          <w:snapToGrid/>
          <w:color w:val="auto"/>
          <w:sz w:val="32"/>
          <w:szCs w:val="32"/>
        </w:rPr>
      </w:pPr>
      <w:r>
        <w:rPr>
          <w:rFonts w:hint="eastAsia" w:ascii="方正小标宋简体" w:hAnsi="方正小标宋简体" w:eastAsia="方正小标宋简体" w:cs="Helvetica Neue"/>
          <w:snapToGrid/>
          <w:color w:val="auto"/>
          <w:sz w:val="32"/>
          <w:szCs w:val="32"/>
        </w:rPr>
        <w:t>团体标准</w:t>
      </w:r>
      <w:r>
        <w:rPr>
          <w:rFonts w:hint="eastAsia" w:ascii="方正小标宋简体" w:hAnsi="方正小标宋简体" w:eastAsia="方正小标宋简体" w:cs="Helvetica Neue"/>
          <w:snapToGrid/>
          <w:color w:val="auto"/>
          <w:sz w:val="32"/>
          <w:szCs w:val="32"/>
          <w:lang w:val="en-US" w:eastAsia="zh-CN"/>
        </w:rPr>
        <w:t>典型应用</w:t>
      </w:r>
      <w:r>
        <w:rPr>
          <w:rFonts w:hint="eastAsia" w:ascii="方正小标宋简体" w:hAnsi="方正小标宋简体" w:eastAsia="方正小标宋简体" w:cs="Helvetica Neue"/>
          <w:snapToGrid/>
          <w:color w:val="auto"/>
          <w:sz w:val="32"/>
          <w:szCs w:val="32"/>
        </w:rPr>
        <w:t>案例申报表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5946"/>
      </w:tblGrid>
      <w:tr w14:paraId="2D96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8" w:type="dxa"/>
            <w:gridSpan w:val="2"/>
            <w:tcMar>
              <w:top w:w="0" w:type="dxa"/>
              <w:left w:w="0" w:type="dxa"/>
              <w:bottom w:w="0" w:type="dxa"/>
              <w:right w:w="0" w:type="dxa"/>
            </w:tcMar>
            <w:vAlign w:val="center"/>
          </w:tcPr>
          <w:p w14:paraId="2F3F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r>
              <w:rPr>
                <w:rFonts w:ascii="黑体" w:hAnsi="黑体" w:eastAsia="黑体" w:cs="Helvetica"/>
                <w:snapToGrid/>
                <w:color w:val="auto"/>
                <w:sz w:val="28"/>
                <w:szCs w:val="28"/>
              </w:rPr>
              <w:t>一、基本信息</w:t>
            </w:r>
          </w:p>
        </w:tc>
      </w:tr>
      <w:tr w14:paraId="2A63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7EC89D5A">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案例名称</w:t>
            </w:r>
          </w:p>
        </w:tc>
        <w:tc>
          <w:tcPr>
            <w:tcW w:w="5946" w:type="dxa"/>
            <w:tcMar>
              <w:top w:w="0" w:type="dxa"/>
              <w:left w:w="0" w:type="dxa"/>
              <w:bottom w:w="0" w:type="dxa"/>
              <w:right w:w="0" w:type="dxa"/>
            </w:tcMar>
            <w:vAlign w:val="center"/>
          </w:tcPr>
          <w:p w14:paraId="714976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p>
        </w:tc>
      </w:tr>
      <w:tr w14:paraId="35E4A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4E03A246">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报送单位</w:t>
            </w:r>
          </w:p>
        </w:tc>
        <w:tc>
          <w:tcPr>
            <w:tcW w:w="5946" w:type="dxa"/>
            <w:tcMar>
              <w:top w:w="0" w:type="dxa"/>
              <w:left w:w="0" w:type="dxa"/>
              <w:bottom w:w="0" w:type="dxa"/>
              <w:right w:w="0" w:type="dxa"/>
            </w:tcMar>
            <w:vAlign w:val="center"/>
          </w:tcPr>
          <w:p w14:paraId="7C752A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p>
        </w:tc>
      </w:tr>
      <w:tr w14:paraId="2BCC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1F1EB54C">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统一社会信用代码</w:t>
            </w:r>
          </w:p>
        </w:tc>
        <w:tc>
          <w:tcPr>
            <w:tcW w:w="5946" w:type="dxa"/>
            <w:tcMar>
              <w:top w:w="0" w:type="dxa"/>
              <w:left w:w="0" w:type="dxa"/>
              <w:bottom w:w="0" w:type="dxa"/>
              <w:right w:w="0" w:type="dxa"/>
            </w:tcMar>
            <w:vAlign w:val="center"/>
          </w:tcPr>
          <w:p w14:paraId="781DD6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p>
        </w:tc>
      </w:tr>
      <w:tr w14:paraId="5B3C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5E153FDC">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单位性质</w:t>
            </w:r>
          </w:p>
        </w:tc>
        <w:tc>
          <w:tcPr>
            <w:tcW w:w="5946" w:type="dxa"/>
            <w:tcMar>
              <w:top w:w="0" w:type="dxa"/>
              <w:left w:w="0" w:type="dxa"/>
              <w:bottom w:w="0" w:type="dxa"/>
              <w:right w:w="0" w:type="dxa"/>
            </w:tcMar>
            <w:vAlign w:val="center"/>
          </w:tcPr>
          <w:p w14:paraId="788796BA">
            <w:pPr>
              <w:widowControl w:val="0"/>
              <w:kinsoku/>
              <w:snapToGrid/>
              <w:textAlignment w:val="auto"/>
              <w:rPr>
                <w:rFonts w:ascii="仿宋_GB2312" w:hAnsi="仿宋_GB2312" w:eastAsia="仿宋_GB2312" w:cs="pingfang sc"/>
                <w:snapToGrid/>
                <w:color w:val="auto"/>
                <w:sz w:val="28"/>
                <w:szCs w:val="28"/>
              </w:rPr>
            </w:pPr>
            <w:r>
              <w:rPr>
                <w:rFonts w:ascii="仿宋_GB2312" w:hAnsi="仿宋_GB2312" w:eastAsia="仿宋_GB2312" w:cs="Times New Roman"/>
                <w:snapToGrid/>
                <w:color w:val="auto"/>
                <w:sz w:val="28"/>
                <w:szCs w:val="28"/>
              </w:rPr>
              <w:t>□</w:t>
            </w:r>
            <w:r>
              <w:rPr>
                <w:rFonts w:hint="eastAsia" w:ascii="仿宋_GB2312" w:hAnsi="仿宋_GB2312" w:eastAsia="仿宋_GB2312" w:cs="Times New Roman"/>
                <w:snapToGrid/>
                <w:color w:val="auto"/>
                <w:sz w:val="28"/>
                <w:szCs w:val="28"/>
              </w:rPr>
              <w:t>行政部门　</w:t>
            </w:r>
            <w:r>
              <w:rPr>
                <w:rFonts w:ascii="仿宋_GB2312" w:hAnsi="仿宋_GB2312" w:eastAsia="仿宋_GB2312" w:cs="Times New Roman"/>
                <w:snapToGrid/>
                <w:color w:val="auto"/>
                <w:sz w:val="28"/>
                <w:szCs w:val="28"/>
              </w:rPr>
              <w:t>□</w:t>
            </w:r>
            <w:r>
              <w:rPr>
                <w:rFonts w:hint="eastAsia" w:ascii="仿宋_GB2312" w:hAnsi="仿宋_GB2312" w:eastAsia="仿宋_GB2312" w:cs="Times New Roman"/>
                <w:snapToGrid/>
                <w:color w:val="auto"/>
                <w:sz w:val="28"/>
                <w:szCs w:val="28"/>
              </w:rPr>
              <w:t>事业单位　</w:t>
            </w: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检验检测机构　</w:t>
            </w: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科研院所　</w:t>
            </w: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高等院校　</w:t>
            </w: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企业　</w:t>
            </w:r>
          </w:p>
          <w:p w14:paraId="703FD0DB">
            <w:pPr>
              <w:widowControl w:val="0"/>
              <w:kinsoku/>
              <w:snapToGrid/>
              <w:textAlignment w:val="auto"/>
              <w:rPr>
                <w:rFonts w:ascii="仿宋_GB2312" w:hAnsi="仿宋_GB2312" w:eastAsia="仿宋_GB2312" w:cs="Helvetica"/>
                <w:snapToGrid/>
                <w:color w:val="auto"/>
                <w:sz w:val="28"/>
                <w:szCs w:val="28"/>
              </w:rPr>
            </w:pP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行业组织　</w:t>
            </w: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其他：</w:t>
            </w:r>
          </w:p>
        </w:tc>
      </w:tr>
      <w:tr w14:paraId="4BD3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35EF8E0E">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是否为学会会员单位</w:t>
            </w:r>
          </w:p>
        </w:tc>
        <w:tc>
          <w:tcPr>
            <w:tcW w:w="5946" w:type="dxa"/>
            <w:tcMar>
              <w:top w:w="0" w:type="dxa"/>
              <w:left w:w="0" w:type="dxa"/>
              <w:bottom w:w="0" w:type="dxa"/>
              <w:right w:w="0" w:type="dxa"/>
            </w:tcMar>
            <w:vAlign w:val="center"/>
          </w:tcPr>
          <w:p w14:paraId="42297751">
            <w:pPr>
              <w:widowControl w:val="0"/>
              <w:kinsoku/>
              <w:snapToGrid/>
              <w:jc w:val="center"/>
              <w:textAlignment w:val="auto"/>
              <w:rPr>
                <w:rFonts w:ascii="仿宋_GB2312" w:hAnsi="仿宋_GB2312" w:eastAsia="仿宋_GB2312" w:cs="Helvetica"/>
                <w:snapToGrid/>
                <w:color w:val="auto"/>
                <w:sz w:val="28"/>
                <w:szCs w:val="28"/>
              </w:rPr>
            </w:pP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是　　　</w:t>
            </w: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否</w:t>
            </w:r>
          </w:p>
        </w:tc>
      </w:tr>
      <w:tr w14:paraId="10CE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01B7D3A7">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联系人</w:t>
            </w:r>
          </w:p>
        </w:tc>
        <w:tc>
          <w:tcPr>
            <w:tcW w:w="5946" w:type="dxa"/>
            <w:tcMar>
              <w:top w:w="0" w:type="dxa"/>
              <w:left w:w="0" w:type="dxa"/>
              <w:bottom w:w="0" w:type="dxa"/>
              <w:right w:w="0" w:type="dxa"/>
            </w:tcMar>
            <w:vAlign w:val="center"/>
          </w:tcPr>
          <w:p w14:paraId="043F70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仿宋_GB2312" w:hAnsi="仿宋_GB2312" w:eastAsia="仿宋_GB2312" w:cs="Helvetica"/>
                <w:snapToGrid/>
                <w:color w:val="auto"/>
                <w:sz w:val="28"/>
                <w:szCs w:val="28"/>
              </w:rPr>
            </w:pPr>
          </w:p>
        </w:tc>
      </w:tr>
      <w:tr w14:paraId="54429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66947066">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职务</w:t>
            </w:r>
            <w:r>
              <w:rPr>
                <w:rFonts w:ascii="黑体" w:hAnsi="黑体" w:eastAsia="黑体" w:cs="Helvetica Neue"/>
                <w:snapToGrid/>
                <w:color w:val="auto"/>
                <w:sz w:val="28"/>
                <w:szCs w:val="28"/>
              </w:rPr>
              <w:t>/</w:t>
            </w:r>
            <w:r>
              <w:rPr>
                <w:rFonts w:hint="eastAsia" w:ascii="黑体" w:hAnsi="黑体" w:eastAsia="黑体" w:cs="pingfang sc"/>
                <w:snapToGrid/>
                <w:color w:val="auto"/>
                <w:sz w:val="28"/>
                <w:szCs w:val="28"/>
              </w:rPr>
              <w:t>职称</w:t>
            </w:r>
          </w:p>
        </w:tc>
        <w:tc>
          <w:tcPr>
            <w:tcW w:w="5946" w:type="dxa"/>
            <w:tcMar>
              <w:top w:w="0" w:type="dxa"/>
              <w:left w:w="0" w:type="dxa"/>
              <w:bottom w:w="0" w:type="dxa"/>
              <w:right w:w="0" w:type="dxa"/>
            </w:tcMar>
            <w:vAlign w:val="center"/>
          </w:tcPr>
          <w:p w14:paraId="67A8DD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p>
        </w:tc>
      </w:tr>
      <w:tr w14:paraId="35ED8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1902FEE0">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联系电话</w:t>
            </w:r>
          </w:p>
        </w:tc>
        <w:tc>
          <w:tcPr>
            <w:tcW w:w="5946" w:type="dxa"/>
            <w:tcMar>
              <w:top w:w="0" w:type="dxa"/>
              <w:left w:w="0" w:type="dxa"/>
              <w:bottom w:w="0" w:type="dxa"/>
              <w:right w:w="0" w:type="dxa"/>
            </w:tcMar>
            <w:vAlign w:val="center"/>
          </w:tcPr>
          <w:p w14:paraId="22F898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p>
        </w:tc>
      </w:tr>
      <w:tr w14:paraId="73EF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748B50CB">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电子邮箱</w:t>
            </w:r>
          </w:p>
        </w:tc>
        <w:tc>
          <w:tcPr>
            <w:tcW w:w="5946" w:type="dxa"/>
            <w:tcMar>
              <w:top w:w="0" w:type="dxa"/>
              <w:left w:w="0" w:type="dxa"/>
              <w:bottom w:w="0" w:type="dxa"/>
              <w:right w:w="0" w:type="dxa"/>
            </w:tcMar>
            <w:vAlign w:val="center"/>
          </w:tcPr>
          <w:p w14:paraId="1FA765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p>
        </w:tc>
      </w:tr>
      <w:tr w14:paraId="5CF3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43E6985C">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通信地址</w:t>
            </w:r>
          </w:p>
        </w:tc>
        <w:tc>
          <w:tcPr>
            <w:tcW w:w="5946" w:type="dxa"/>
            <w:tcMar>
              <w:top w:w="0" w:type="dxa"/>
              <w:left w:w="0" w:type="dxa"/>
              <w:bottom w:w="0" w:type="dxa"/>
              <w:right w:w="0" w:type="dxa"/>
            </w:tcMar>
            <w:vAlign w:val="center"/>
          </w:tcPr>
          <w:p w14:paraId="006FD2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Neue"/>
                <w:snapToGrid/>
                <w:color w:val="auto"/>
                <w:sz w:val="28"/>
                <w:szCs w:val="28"/>
              </w:rPr>
            </w:pPr>
          </w:p>
        </w:tc>
      </w:tr>
      <w:tr w14:paraId="5CD6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8" w:type="dxa"/>
            <w:gridSpan w:val="2"/>
            <w:tcMar>
              <w:top w:w="0" w:type="dxa"/>
              <w:left w:w="0" w:type="dxa"/>
              <w:bottom w:w="0" w:type="dxa"/>
              <w:right w:w="0" w:type="dxa"/>
            </w:tcMar>
            <w:vAlign w:val="center"/>
          </w:tcPr>
          <w:p w14:paraId="1FE630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r>
              <w:rPr>
                <w:rFonts w:ascii="黑体" w:hAnsi="黑体" w:eastAsia="黑体" w:cs="Helvetica"/>
                <w:snapToGrid/>
                <w:color w:val="auto"/>
                <w:sz w:val="28"/>
                <w:szCs w:val="28"/>
              </w:rPr>
              <w:t>二、相关团体标准信息</w:t>
            </w:r>
          </w:p>
        </w:tc>
      </w:tr>
      <w:tr w14:paraId="4D6C8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1F04A3F9">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标准编号、名称</w:t>
            </w:r>
          </w:p>
        </w:tc>
        <w:tc>
          <w:tcPr>
            <w:tcW w:w="5946" w:type="dxa"/>
            <w:tcMar>
              <w:top w:w="0" w:type="dxa"/>
              <w:left w:w="0" w:type="dxa"/>
              <w:bottom w:w="0" w:type="dxa"/>
              <w:right w:w="0" w:type="dxa"/>
            </w:tcMar>
            <w:vAlign w:val="center"/>
          </w:tcPr>
          <w:p w14:paraId="10133F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p>
        </w:tc>
      </w:tr>
      <w:tr w14:paraId="0FB1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3AA7EDEF">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发布日期、实施日期</w:t>
            </w:r>
          </w:p>
        </w:tc>
        <w:tc>
          <w:tcPr>
            <w:tcW w:w="5946" w:type="dxa"/>
            <w:tcMar>
              <w:top w:w="0" w:type="dxa"/>
              <w:left w:w="0" w:type="dxa"/>
              <w:bottom w:w="0" w:type="dxa"/>
              <w:right w:w="0" w:type="dxa"/>
            </w:tcMar>
            <w:vAlign w:val="center"/>
          </w:tcPr>
          <w:p w14:paraId="575FC2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p>
        </w:tc>
      </w:tr>
      <w:tr w14:paraId="2522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6D767FFA">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本单位参与情况</w:t>
            </w:r>
          </w:p>
        </w:tc>
        <w:tc>
          <w:tcPr>
            <w:tcW w:w="5946" w:type="dxa"/>
            <w:tcMar>
              <w:top w:w="0" w:type="dxa"/>
              <w:left w:w="0" w:type="dxa"/>
              <w:bottom w:w="0" w:type="dxa"/>
              <w:right w:w="0" w:type="dxa"/>
            </w:tcMar>
            <w:vAlign w:val="center"/>
          </w:tcPr>
          <w:p w14:paraId="3991FFF6">
            <w:pPr>
              <w:widowControl w:val="0"/>
              <w:kinsoku/>
              <w:snapToGrid/>
              <w:jc w:val="center"/>
              <w:textAlignment w:val="auto"/>
              <w:rPr>
                <w:rFonts w:ascii="仿宋_GB2312" w:hAnsi="仿宋_GB2312" w:eastAsia="仿宋_GB2312" w:cs="pingfang sc"/>
                <w:snapToGrid/>
                <w:color w:val="auto"/>
                <w:sz w:val="28"/>
                <w:szCs w:val="28"/>
              </w:rPr>
            </w:pP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起草单位　　　</w:t>
            </w: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实施应用单位</w:t>
            </w:r>
          </w:p>
          <w:p w14:paraId="76188138">
            <w:pPr>
              <w:widowControl w:val="0"/>
              <w:kinsoku/>
              <w:snapToGrid/>
              <w:jc w:val="center"/>
              <w:textAlignment w:val="auto"/>
              <w:rPr>
                <w:rFonts w:ascii="仿宋_GB2312" w:hAnsi="仿宋_GB2312" w:eastAsia="仿宋_GB2312" w:cs="Helvetica"/>
                <w:snapToGrid/>
                <w:color w:val="auto"/>
                <w:sz w:val="28"/>
                <w:szCs w:val="28"/>
              </w:rPr>
            </w:pP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技术支持单位　　　</w:t>
            </w: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其他：</w:t>
            </w:r>
          </w:p>
        </w:tc>
      </w:tr>
      <w:tr w14:paraId="2072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2C4AFFDA">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标准实施应用时间</w:t>
            </w:r>
          </w:p>
        </w:tc>
        <w:tc>
          <w:tcPr>
            <w:tcW w:w="5946" w:type="dxa"/>
            <w:tcMar>
              <w:top w:w="0" w:type="dxa"/>
              <w:left w:w="0" w:type="dxa"/>
              <w:bottom w:w="0" w:type="dxa"/>
              <w:right w:w="0" w:type="dxa"/>
            </w:tcMar>
            <w:vAlign w:val="center"/>
          </w:tcPr>
          <w:p w14:paraId="54461A79">
            <w:pPr>
              <w:widowControl w:val="0"/>
              <w:kinsoku/>
              <w:snapToGrid/>
              <w:jc w:val="center"/>
              <w:textAlignment w:val="auto"/>
              <w:rPr>
                <w:rFonts w:ascii="仿宋_GB2312" w:hAnsi="仿宋_GB2312" w:eastAsia="仿宋_GB2312" w:cs="Helvetica Neue"/>
                <w:snapToGrid/>
                <w:color w:val="auto"/>
                <w:sz w:val="28"/>
                <w:szCs w:val="28"/>
              </w:rPr>
            </w:pPr>
            <w:r>
              <w:rPr>
                <w:rFonts w:hint="eastAsia" w:ascii="仿宋_GB2312" w:hAnsi="仿宋_GB2312" w:eastAsia="仿宋_GB2312" w:cs="pingfang sc"/>
                <w:snapToGrid/>
                <w:color w:val="auto"/>
                <w:sz w:val="28"/>
                <w:szCs w:val="28"/>
              </w:rPr>
              <w:t>自</w:t>
            </w:r>
            <w:r>
              <w:rPr>
                <w:rFonts w:hint="eastAsia" w:ascii="仿宋_GB2312" w:hAnsi="仿宋_GB2312" w:eastAsia="仿宋_GB2312" w:cs="Helvetica Neue"/>
                <w:snapToGrid/>
                <w:color w:val="auto"/>
                <w:sz w:val="28"/>
                <w:szCs w:val="28"/>
              </w:rPr>
              <w:t>　　　　</w:t>
            </w:r>
            <w:r>
              <w:rPr>
                <w:rFonts w:hint="eastAsia" w:ascii="仿宋_GB2312" w:hAnsi="仿宋_GB2312" w:eastAsia="仿宋_GB2312" w:cs="pingfang sc"/>
                <w:snapToGrid/>
                <w:color w:val="auto"/>
                <w:sz w:val="28"/>
                <w:szCs w:val="28"/>
              </w:rPr>
              <w:t>年</w:t>
            </w:r>
            <w:r>
              <w:rPr>
                <w:rFonts w:hint="eastAsia" w:ascii="仿宋_GB2312" w:hAnsi="仿宋_GB2312" w:eastAsia="仿宋_GB2312" w:cs="Helvetica Neue"/>
                <w:snapToGrid/>
                <w:color w:val="auto"/>
                <w:sz w:val="28"/>
                <w:szCs w:val="28"/>
              </w:rPr>
              <w:t>　　</w:t>
            </w:r>
            <w:r>
              <w:rPr>
                <w:rFonts w:hint="eastAsia" w:ascii="仿宋_GB2312" w:hAnsi="仿宋_GB2312" w:eastAsia="仿宋_GB2312" w:cs="pingfang sc"/>
                <w:snapToGrid/>
                <w:color w:val="auto"/>
                <w:sz w:val="28"/>
                <w:szCs w:val="28"/>
              </w:rPr>
              <w:t>月起实施应用</w:t>
            </w:r>
          </w:p>
        </w:tc>
      </w:tr>
      <w:tr w14:paraId="559E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8" w:type="dxa"/>
            <w:gridSpan w:val="2"/>
            <w:tcMar>
              <w:top w:w="0" w:type="dxa"/>
              <w:left w:w="0" w:type="dxa"/>
              <w:bottom w:w="0" w:type="dxa"/>
              <w:right w:w="0" w:type="dxa"/>
            </w:tcMar>
            <w:vAlign w:val="center"/>
          </w:tcPr>
          <w:p w14:paraId="614957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r>
              <w:rPr>
                <w:rFonts w:ascii="黑体" w:hAnsi="黑体" w:eastAsia="黑体" w:cs="Helvetica"/>
                <w:snapToGrid/>
                <w:color w:val="auto"/>
                <w:sz w:val="28"/>
                <w:szCs w:val="28"/>
              </w:rPr>
              <w:t>三、案例类型</w:t>
            </w:r>
          </w:p>
        </w:tc>
      </w:tr>
      <w:tr w14:paraId="4D76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36865346">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案例类型</w:t>
            </w:r>
          </w:p>
        </w:tc>
        <w:tc>
          <w:tcPr>
            <w:tcW w:w="5946" w:type="dxa"/>
            <w:tcMar>
              <w:top w:w="0" w:type="dxa"/>
              <w:left w:w="0" w:type="dxa"/>
              <w:bottom w:w="0" w:type="dxa"/>
              <w:right w:w="0" w:type="dxa"/>
            </w:tcMar>
            <w:vAlign w:val="center"/>
          </w:tcPr>
          <w:p w14:paraId="1502BFB1">
            <w:pPr>
              <w:widowControl w:val="0"/>
              <w:kinsoku/>
              <w:snapToGrid/>
              <w:textAlignment w:val="auto"/>
              <w:rPr>
                <w:rFonts w:ascii="仿宋_GB2312" w:hAnsi="仿宋_GB2312" w:eastAsia="仿宋_GB2312" w:cs="Times New Roman"/>
                <w:snapToGrid/>
                <w:color w:val="auto"/>
                <w:sz w:val="28"/>
                <w:szCs w:val="28"/>
              </w:rPr>
            </w:pPr>
            <w:r>
              <w:rPr>
                <w:rFonts w:ascii="仿宋_GB2312" w:hAnsi="仿宋_GB2312" w:eastAsia="仿宋_GB2312" w:cs="Times New Roman"/>
                <w:snapToGrid/>
                <w:color w:val="auto"/>
                <w:sz w:val="28"/>
                <w:szCs w:val="28"/>
              </w:rPr>
              <w:t>□</w:t>
            </w:r>
            <w:r>
              <w:rPr>
                <w:rFonts w:hint="eastAsia" w:ascii="仿宋_GB2312" w:hAnsi="仿宋_GB2312" w:eastAsia="仿宋_GB2312" w:cs="Times New Roman"/>
                <w:snapToGrid/>
                <w:color w:val="auto"/>
                <w:sz w:val="28"/>
                <w:szCs w:val="28"/>
              </w:rPr>
              <w:t>团体标准实施应用案例</w:t>
            </w:r>
          </w:p>
          <w:p w14:paraId="2580B8CD">
            <w:pPr>
              <w:widowControl w:val="0"/>
              <w:kinsoku/>
              <w:snapToGrid/>
              <w:textAlignment w:val="auto"/>
              <w:rPr>
                <w:rFonts w:ascii="仿宋_GB2312" w:hAnsi="仿宋_GB2312" w:eastAsia="仿宋_GB2312" w:cs="Times New Roman"/>
                <w:snapToGrid/>
                <w:color w:val="auto"/>
                <w:sz w:val="28"/>
                <w:szCs w:val="28"/>
              </w:rPr>
            </w:pPr>
            <w:r>
              <w:rPr>
                <w:rFonts w:ascii="仿宋_GB2312" w:hAnsi="仿宋_GB2312" w:eastAsia="仿宋_GB2312" w:cs="Times New Roman"/>
                <w:snapToGrid/>
                <w:color w:val="auto"/>
                <w:sz w:val="28"/>
                <w:szCs w:val="28"/>
              </w:rPr>
              <w:t>□</w:t>
            </w:r>
            <w:r>
              <w:rPr>
                <w:rFonts w:hint="eastAsia" w:ascii="仿宋_GB2312" w:hAnsi="仿宋_GB2312" w:eastAsia="仿宋_GB2312" w:cs="Times New Roman"/>
                <w:snapToGrid/>
                <w:color w:val="auto"/>
                <w:sz w:val="28"/>
                <w:szCs w:val="28"/>
              </w:rPr>
              <w:t>团体标准服务产业发展案例</w:t>
            </w:r>
          </w:p>
          <w:p w14:paraId="563E5F99">
            <w:pPr>
              <w:widowControl w:val="0"/>
              <w:kinsoku/>
              <w:snapToGrid/>
              <w:textAlignment w:val="auto"/>
              <w:rPr>
                <w:rFonts w:ascii="仿宋_GB2312" w:hAnsi="仿宋_GB2312" w:eastAsia="仿宋_GB2312" w:cs="Times New Roman"/>
                <w:snapToGrid/>
                <w:color w:val="auto"/>
                <w:sz w:val="28"/>
                <w:szCs w:val="28"/>
              </w:rPr>
            </w:pPr>
            <w:r>
              <w:rPr>
                <w:rFonts w:ascii="仿宋_GB2312" w:hAnsi="仿宋_GB2312" w:eastAsia="仿宋_GB2312" w:cs="Times New Roman"/>
                <w:snapToGrid/>
                <w:color w:val="auto"/>
                <w:sz w:val="28"/>
                <w:szCs w:val="28"/>
              </w:rPr>
              <w:t>□</w:t>
            </w:r>
            <w:r>
              <w:rPr>
                <w:rFonts w:hint="eastAsia" w:ascii="仿宋_GB2312" w:hAnsi="仿宋_GB2312" w:eastAsia="仿宋_GB2312" w:cs="Times New Roman"/>
                <w:snapToGrid/>
                <w:color w:val="auto"/>
                <w:sz w:val="28"/>
                <w:szCs w:val="28"/>
              </w:rPr>
              <w:t>团体标准支撑科技成果转化案例</w:t>
            </w:r>
          </w:p>
          <w:p w14:paraId="31E6433B">
            <w:pPr>
              <w:widowControl w:val="0"/>
              <w:kinsoku/>
              <w:snapToGrid/>
              <w:textAlignment w:val="auto"/>
              <w:rPr>
                <w:rFonts w:ascii="仿宋_GB2312" w:hAnsi="仿宋_GB2312" w:eastAsia="仿宋_GB2312" w:cs="Times New Roman"/>
                <w:snapToGrid/>
                <w:color w:val="auto"/>
                <w:sz w:val="28"/>
                <w:szCs w:val="28"/>
              </w:rPr>
            </w:pPr>
            <w:r>
              <w:rPr>
                <w:rFonts w:ascii="仿宋_GB2312" w:hAnsi="仿宋_GB2312" w:eastAsia="仿宋_GB2312" w:cs="Times New Roman"/>
                <w:snapToGrid/>
                <w:color w:val="auto"/>
                <w:sz w:val="28"/>
                <w:szCs w:val="28"/>
              </w:rPr>
              <w:t>□</w:t>
            </w:r>
            <w:r>
              <w:rPr>
                <w:rFonts w:hint="eastAsia" w:ascii="仿宋_GB2312" w:hAnsi="仿宋_GB2312" w:eastAsia="仿宋_GB2312" w:cs="Times New Roman"/>
                <w:snapToGrid/>
                <w:color w:val="auto"/>
                <w:sz w:val="28"/>
                <w:szCs w:val="28"/>
              </w:rPr>
              <w:t>团体标准促进检验检测结果采信案例</w:t>
            </w:r>
          </w:p>
          <w:p w14:paraId="69ADEF52">
            <w:pPr>
              <w:widowControl w:val="0"/>
              <w:kinsoku/>
              <w:snapToGrid/>
              <w:textAlignment w:val="auto"/>
              <w:rPr>
                <w:rFonts w:ascii="仿宋_GB2312" w:hAnsi="仿宋_GB2312" w:eastAsia="仿宋_GB2312" w:cs="Times New Roman"/>
                <w:snapToGrid/>
                <w:color w:val="auto"/>
                <w:sz w:val="28"/>
                <w:szCs w:val="28"/>
              </w:rPr>
            </w:pPr>
            <w:r>
              <w:rPr>
                <w:rFonts w:ascii="仿宋_GB2312" w:hAnsi="仿宋_GB2312" w:eastAsia="仿宋_GB2312" w:cs="Times New Roman"/>
                <w:snapToGrid/>
                <w:color w:val="auto"/>
                <w:sz w:val="28"/>
                <w:szCs w:val="28"/>
              </w:rPr>
              <w:t>□</w:t>
            </w:r>
            <w:r>
              <w:rPr>
                <w:rFonts w:hint="eastAsia" w:ascii="仿宋_GB2312" w:hAnsi="仿宋_GB2312" w:eastAsia="仿宋_GB2312" w:cs="Times New Roman"/>
                <w:snapToGrid/>
                <w:color w:val="auto"/>
                <w:sz w:val="28"/>
                <w:szCs w:val="28"/>
              </w:rPr>
              <w:t>团体标准支撑检验检测机构能力提升案例</w:t>
            </w:r>
          </w:p>
          <w:p w14:paraId="50C3022B">
            <w:pPr>
              <w:widowControl w:val="0"/>
              <w:kinsoku/>
              <w:snapToGrid/>
              <w:textAlignment w:val="auto"/>
              <w:rPr>
                <w:rFonts w:ascii="仿宋_GB2312" w:hAnsi="仿宋_GB2312" w:eastAsia="仿宋_GB2312" w:cs="Times New Roman"/>
                <w:snapToGrid/>
                <w:color w:val="auto"/>
                <w:sz w:val="28"/>
                <w:szCs w:val="28"/>
              </w:rPr>
            </w:pPr>
            <w:r>
              <w:rPr>
                <w:rFonts w:ascii="仿宋_GB2312" w:hAnsi="仿宋_GB2312" w:eastAsia="仿宋_GB2312" w:cs="Times New Roman"/>
                <w:snapToGrid/>
                <w:color w:val="auto"/>
                <w:sz w:val="28"/>
                <w:szCs w:val="28"/>
              </w:rPr>
              <w:t>□</w:t>
            </w:r>
            <w:r>
              <w:rPr>
                <w:rFonts w:hint="eastAsia" w:ascii="仿宋_GB2312" w:hAnsi="仿宋_GB2312" w:eastAsia="仿宋_GB2312" w:cs="Times New Roman"/>
                <w:snapToGrid/>
                <w:color w:val="auto"/>
                <w:sz w:val="28"/>
                <w:szCs w:val="28"/>
              </w:rPr>
              <w:t>团体标准参与国际交流或者转化应用案例</w:t>
            </w:r>
          </w:p>
          <w:p w14:paraId="5A35652B">
            <w:pPr>
              <w:widowControl w:val="0"/>
              <w:kinsoku/>
              <w:snapToGrid/>
              <w:textAlignment w:val="auto"/>
              <w:rPr>
                <w:rFonts w:hint="eastAsia" w:ascii="仿宋_GB2312" w:hAnsi="仿宋_GB2312" w:eastAsia="仿宋_GB2312" w:cs="Helvetica"/>
                <w:snapToGrid/>
                <w:color w:val="auto"/>
                <w:sz w:val="28"/>
                <w:szCs w:val="28"/>
              </w:rPr>
            </w:pPr>
            <w:r>
              <w:rPr>
                <w:rFonts w:ascii="仿宋_GB2312" w:hAnsi="仿宋_GB2312" w:eastAsia="仿宋_GB2312" w:cs="Times New Roman"/>
                <w:snapToGrid/>
                <w:color w:val="auto"/>
                <w:sz w:val="28"/>
                <w:szCs w:val="28"/>
              </w:rPr>
              <w:t>□</w:t>
            </w:r>
            <w:r>
              <w:rPr>
                <w:rFonts w:hint="eastAsia" w:ascii="仿宋_GB2312" w:hAnsi="仿宋_GB2312" w:eastAsia="仿宋_GB2312" w:cs="Times New Roman"/>
                <w:snapToGrid/>
                <w:color w:val="auto"/>
                <w:sz w:val="28"/>
                <w:szCs w:val="28"/>
              </w:rPr>
              <w:t>团体标准化管理制度创新案例</w:t>
            </w:r>
          </w:p>
        </w:tc>
      </w:tr>
      <w:tr w14:paraId="0274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686410AD">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是否已形成实际成效</w:t>
            </w:r>
          </w:p>
        </w:tc>
        <w:tc>
          <w:tcPr>
            <w:tcW w:w="5946" w:type="dxa"/>
            <w:tcMar>
              <w:top w:w="0" w:type="dxa"/>
              <w:left w:w="0" w:type="dxa"/>
              <w:bottom w:w="0" w:type="dxa"/>
              <w:right w:w="0" w:type="dxa"/>
            </w:tcMar>
            <w:vAlign w:val="center"/>
          </w:tcPr>
          <w:p w14:paraId="61E0A705">
            <w:pPr>
              <w:widowControl w:val="0"/>
              <w:kinsoku/>
              <w:snapToGrid/>
              <w:jc w:val="center"/>
              <w:textAlignment w:val="auto"/>
              <w:rPr>
                <w:rFonts w:ascii="仿宋_GB2312" w:hAnsi="仿宋_GB2312" w:eastAsia="仿宋_GB2312" w:cs="Helvetica"/>
                <w:snapToGrid/>
                <w:color w:val="auto"/>
                <w:sz w:val="28"/>
                <w:szCs w:val="28"/>
              </w:rPr>
            </w:pP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是　　　</w:t>
            </w: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否</w:t>
            </w:r>
          </w:p>
        </w:tc>
      </w:tr>
      <w:tr w14:paraId="3847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43B0F93A">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是否提交佐证材料</w:t>
            </w:r>
          </w:p>
        </w:tc>
        <w:tc>
          <w:tcPr>
            <w:tcW w:w="5946" w:type="dxa"/>
            <w:tcMar>
              <w:top w:w="0" w:type="dxa"/>
              <w:left w:w="0" w:type="dxa"/>
              <w:bottom w:w="0" w:type="dxa"/>
              <w:right w:w="0" w:type="dxa"/>
            </w:tcMar>
            <w:vAlign w:val="center"/>
          </w:tcPr>
          <w:p w14:paraId="7755F93D">
            <w:pPr>
              <w:widowControl w:val="0"/>
              <w:kinsoku/>
              <w:snapToGrid/>
              <w:jc w:val="center"/>
              <w:textAlignment w:val="auto"/>
              <w:rPr>
                <w:rFonts w:ascii="仿宋_GB2312" w:hAnsi="仿宋_GB2312" w:eastAsia="仿宋_GB2312" w:cs="Helvetica"/>
                <w:snapToGrid/>
                <w:color w:val="auto"/>
                <w:sz w:val="28"/>
                <w:szCs w:val="28"/>
              </w:rPr>
            </w:pP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是　　　</w:t>
            </w: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否</w:t>
            </w:r>
          </w:p>
        </w:tc>
      </w:tr>
      <w:tr w14:paraId="17BA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2F1827D8">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佐证材料是否已脱敏</w:t>
            </w:r>
          </w:p>
        </w:tc>
        <w:tc>
          <w:tcPr>
            <w:tcW w:w="5946" w:type="dxa"/>
            <w:tcMar>
              <w:top w:w="0" w:type="dxa"/>
              <w:left w:w="0" w:type="dxa"/>
              <w:bottom w:w="0" w:type="dxa"/>
              <w:right w:w="0" w:type="dxa"/>
            </w:tcMar>
            <w:vAlign w:val="center"/>
          </w:tcPr>
          <w:p w14:paraId="4CBD5D8A">
            <w:pPr>
              <w:widowControl w:val="0"/>
              <w:kinsoku/>
              <w:snapToGrid/>
              <w:jc w:val="center"/>
              <w:textAlignment w:val="auto"/>
              <w:rPr>
                <w:rFonts w:ascii="仿宋_GB2312" w:hAnsi="仿宋_GB2312" w:eastAsia="仿宋_GB2312" w:cs="Helvetica Neue"/>
                <w:snapToGrid/>
                <w:color w:val="auto"/>
                <w:sz w:val="28"/>
                <w:szCs w:val="28"/>
              </w:rPr>
            </w:pP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是　</w:t>
            </w: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否　</w:t>
            </w:r>
            <w:r>
              <w:rPr>
                <w:rFonts w:ascii="仿宋_GB2312" w:hAnsi="仿宋_GB2312" w:eastAsia="仿宋_GB2312" w:cs="Times New Roman"/>
                <w:snapToGrid/>
                <w:color w:val="auto"/>
                <w:sz w:val="28"/>
                <w:szCs w:val="28"/>
              </w:rPr>
              <w:t>□</w:t>
            </w:r>
            <w:r>
              <w:rPr>
                <w:rFonts w:hint="eastAsia" w:ascii="仿宋_GB2312" w:hAnsi="仿宋_GB2312" w:eastAsia="仿宋_GB2312" w:cs="pingfang sc"/>
                <w:snapToGrid/>
                <w:color w:val="auto"/>
                <w:sz w:val="28"/>
                <w:szCs w:val="28"/>
              </w:rPr>
              <w:t>不涉及</w:t>
            </w:r>
          </w:p>
        </w:tc>
      </w:tr>
      <w:tr w14:paraId="74E6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8" w:type="dxa"/>
            <w:gridSpan w:val="2"/>
            <w:tcMar>
              <w:top w:w="0" w:type="dxa"/>
              <w:left w:w="0" w:type="dxa"/>
              <w:bottom w:w="0" w:type="dxa"/>
              <w:right w:w="0" w:type="dxa"/>
            </w:tcMar>
            <w:vAlign w:val="center"/>
          </w:tcPr>
          <w:p w14:paraId="5B9EC4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r>
              <w:rPr>
                <w:rFonts w:ascii="黑体" w:hAnsi="黑体" w:eastAsia="黑体" w:cs="Helvetica"/>
                <w:snapToGrid/>
                <w:color w:val="auto"/>
                <w:sz w:val="28"/>
                <w:szCs w:val="28"/>
              </w:rPr>
              <w:t>四、案例摘要</w:t>
            </w:r>
          </w:p>
        </w:tc>
      </w:tr>
      <w:tr w14:paraId="51EA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458EC958">
            <w:pPr>
              <w:widowControl w:val="0"/>
              <w:kinsoku/>
              <w:snapToGrid/>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摘要（</w:t>
            </w:r>
            <w:r>
              <w:rPr>
                <w:rFonts w:hint="default" w:ascii="Times New Roman" w:hAnsi="Times New Roman" w:eastAsia="黑体" w:cs="Times New Roman"/>
                <w:snapToGrid/>
                <w:color w:val="auto"/>
                <w:sz w:val="28"/>
                <w:szCs w:val="28"/>
              </w:rPr>
              <w:t>300</w:t>
            </w:r>
            <w:r>
              <w:rPr>
                <w:rFonts w:hint="eastAsia" w:ascii="黑体" w:hAnsi="黑体" w:eastAsia="黑体" w:cs="pingfang sc"/>
                <w:snapToGrid/>
                <w:color w:val="auto"/>
                <w:sz w:val="28"/>
                <w:szCs w:val="28"/>
              </w:rPr>
              <w:t>字以内）</w:t>
            </w:r>
          </w:p>
        </w:tc>
        <w:tc>
          <w:tcPr>
            <w:tcW w:w="5946" w:type="dxa"/>
            <w:tcMar>
              <w:top w:w="0" w:type="dxa"/>
              <w:left w:w="0" w:type="dxa"/>
              <w:bottom w:w="0" w:type="dxa"/>
              <w:right w:w="0" w:type="dxa"/>
            </w:tcMar>
            <w:vAlign w:val="center"/>
          </w:tcPr>
          <w:p w14:paraId="477ABE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Neue"/>
                <w:snapToGrid/>
                <w:color w:val="auto"/>
                <w:sz w:val="28"/>
                <w:szCs w:val="28"/>
              </w:rPr>
            </w:pPr>
          </w:p>
          <w:p w14:paraId="11CF1F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hint="eastAsia" w:ascii="黑体" w:hAnsi="黑体" w:eastAsia="黑体" w:cs="Helvetica Neue"/>
                <w:snapToGrid/>
                <w:color w:val="auto"/>
                <w:sz w:val="28"/>
                <w:szCs w:val="28"/>
              </w:rPr>
            </w:pPr>
          </w:p>
        </w:tc>
      </w:tr>
      <w:tr w14:paraId="47AC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8" w:type="dxa"/>
            <w:gridSpan w:val="2"/>
            <w:tcMar>
              <w:top w:w="0" w:type="dxa"/>
              <w:left w:w="0" w:type="dxa"/>
              <w:bottom w:w="0" w:type="dxa"/>
              <w:right w:w="0" w:type="dxa"/>
            </w:tcMar>
            <w:vAlign w:val="center"/>
          </w:tcPr>
          <w:p w14:paraId="2A6389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r>
              <w:rPr>
                <w:rFonts w:ascii="黑体" w:hAnsi="黑体" w:eastAsia="黑体" w:cs="Helvetica"/>
                <w:snapToGrid/>
                <w:color w:val="auto"/>
                <w:sz w:val="28"/>
                <w:szCs w:val="28"/>
              </w:rPr>
              <w:t>五、实施应用情况概述</w:t>
            </w:r>
          </w:p>
        </w:tc>
      </w:tr>
      <w:tr w14:paraId="2F57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2FB3A83F">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应用背景</w:t>
            </w:r>
          </w:p>
        </w:tc>
        <w:tc>
          <w:tcPr>
            <w:tcW w:w="5946" w:type="dxa"/>
            <w:tcMar>
              <w:top w:w="0" w:type="dxa"/>
              <w:left w:w="0" w:type="dxa"/>
              <w:bottom w:w="0" w:type="dxa"/>
              <w:right w:w="0" w:type="dxa"/>
            </w:tcMar>
            <w:vAlign w:val="center"/>
          </w:tcPr>
          <w:p w14:paraId="1A4A4C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p>
        </w:tc>
      </w:tr>
      <w:tr w14:paraId="5B40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4BD46C89">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主要做法</w:t>
            </w:r>
          </w:p>
        </w:tc>
        <w:tc>
          <w:tcPr>
            <w:tcW w:w="5946" w:type="dxa"/>
            <w:tcMar>
              <w:top w:w="0" w:type="dxa"/>
              <w:left w:w="0" w:type="dxa"/>
              <w:bottom w:w="0" w:type="dxa"/>
              <w:right w:w="0" w:type="dxa"/>
            </w:tcMar>
            <w:vAlign w:val="center"/>
          </w:tcPr>
          <w:p w14:paraId="2F5497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p>
        </w:tc>
      </w:tr>
      <w:tr w14:paraId="4B2C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5A30236F">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创新点</w:t>
            </w:r>
          </w:p>
        </w:tc>
        <w:tc>
          <w:tcPr>
            <w:tcW w:w="5946" w:type="dxa"/>
            <w:tcMar>
              <w:top w:w="0" w:type="dxa"/>
              <w:left w:w="0" w:type="dxa"/>
              <w:bottom w:w="0" w:type="dxa"/>
              <w:right w:w="0" w:type="dxa"/>
            </w:tcMar>
            <w:vAlign w:val="center"/>
          </w:tcPr>
          <w:p w14:paraId="03CC2E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p>
        </w:tc>
      </w:tr>
      <w:tr w14:paraId="4C6F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1550BD32">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实施成效</w:t>
            </w:r>
          </w:p>
        </w:tc>
        <w:tc>
          <w:tcPr>
            <w:tcW w:w="5946" w:type="dxa"/>
            <w:tcMar>
              <w:top w:w="0" w:type="dxa"/>
              <w:left w:w="0" w:type="dxa"/>
              <w:bottom w:w="0" w:type="dxa"/>
              <w:right w:w="0" w:type="dxa"/>
            </w:tcMar>
            <w:vAlign w:val="center"/>
          </w:tcPr>
          <w:p w14:paraId="5576DF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p>
        </w:tc>
      </w:tr>
      <w:tr w14:paraId="7AED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605B0250">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可复制推广经验</w:t>
            </w:r>
          </w:p>
        </w:tc>
        <w:tc>
          <w:tcPr>
            <w:tcW w:w="5946" w:type="dxa"/>
            <w:tcMar>
              <w:top w:w="0" w:type="dxa"/>
              <w:left w:w="0" w:type="dxa"/>
              <w:bottom w:w="0" w:type="dxa"/>
              <w:right w:w="0" w:type="dxa"/>
            </w:tcMar>
            <w:vAlign w:val="center"/>
          </w:tcPr>
          <w:p w14:paraId="1E749E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Neue"/>
                <w:snapToGrid/>
                <w:color w:val="auto"/>
                <w:sz w:val="28"/>
                <w:szCs w:val="28"/>
              </w:rPr>
            </w:pPr>
          </w:p>
        </w:tc>
      </w:tr>
      <w:tr w14:paraId="4545D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8" w:type="dxa"/>
            <w:gridSpan w:val="2"/>
            <w:tcMar>
              <w:top w:w="0" w:type="dxa"/>
              <w:left w:w="0" w:type="dxa"/>
              <w:bottom w:w="0" w:type="dxa"/>
              <w:right w:w="0" w:type="dxa"/>
            </w:tcMar>
            <w:vAlign w:val="center"/>
          </w:tcPr>
          <w:p w14:paraId="13B5EC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r>
              <w:rPr>
                <w:rFonts w:ascii="黑体" w:hAnsi="黑体" w:eastAsia="黑体" w:cs="Helvetica"/>
                <w:snapToGrid/>
                <w:color w:val="auto"/>
                <w:sz w:val="28"/>
                <w:szCs w:val="28"/>
              </w:rPr>
              <w:t>六、佐证材料清单</w:t>
            </w:r>
          </w:p>
        </w:tc>
      </w:tr>
      <w:tr w14:paraId="15AA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23E213C8">
            <w:pPr>
              <w:widowControl w:val="0"/>
              <w:kinsoku/>
              <w:snapToGrid/>
              <w:jc w:val="center"/>
              <w:textAlignment w:val="auto"/>
              <w:rPr>
                <w:rFonts w:hint="default" w:ascii="Times New Roman" w:hAnsi="Times New Roman" w:eastAsia="黑体" w:cs="Times New Roman"/>
                <w:snapToGrid/>
                <w:color w:val="auto"/>
                <w:sz w:val="28"/>
                <w:szCs w:val="28"/>
              </w:rPr>
            </w:pPr>
            <w:r>
              <w:rPr>
                <w:rFonts w:hint="default" w:ascii="Times New Roman" w:hAnsi="Times New Roman" w:eastAsia="黑体" w:cs="Times New Roman"/>
                <w:snapToGrid/>
                <w:color w:val="auto"/>
                <w:sz w:val="28"/>
                <w:szCs w:val="28"/>
              </w:rPr>
              <w:t>1</w:t>
            </w:r>
          </w:p>
        </w:tc>
        <w:tc>
          <w:tcPr>
            <w:tcW w:w="5946" w:type="dxa"/>
            <w:tcMar>
              <w:top w:w="0" w:type="dxa"/>
              <w:left w:w="0" w:type="dxa"/>
              <w:bottom w:w="0" w:type="dxa"/>
              <w:right w:w="0" w:type="dxa"/>
            </w:tcMar>
            <w:vAlign w:val="center"/>
          </w:tcPr>
          <w:p w14:paraId="331DB4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p>
        </w:tc>
      </w:tr>
      <w:tr w14:paraId="0065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39447B96">
            <w:pPr>
              <w:widowControl w:val="0"/>
              <w:kinsoku/>
              <w:snapToGrid/>
              <w:jc w:val="center"/>
              <w:textAlignment w:val="auto"/>
              <w:rPr>
                <w:rFonts w:hint="default" w:ascii="Times New Roman" w:hAnsi="Times New Roman" w:eastAsia="黑体" w:cs="Times New Roman"/>
                <w:snapToGrid/>
                <w:color w:val="auto"/>
                <w:sz w:val="28"/>
                <w:szCs w:val="28"/>
              </w:rPr>
            </w:pPr>
            <w:r>
              <w:rPr>
                <w:rFonts w:hint="default" w:ascii="Times New Roman" w:hAnsi="Times New Roman" w:eastAsia="黑体" w:cs="Times New Roman"/>
                <w:snapToGrid/>
                <w:color w:val="auto"/>
                <w:sz w:val="28"/>
                <w:szCs w:val="28"/>
              </w:rPr>
              <w:t>2</w:t>
            </w:r>
          </w:p>
        </w:tc>
        <w:tc>
          <w:tcPr>
            <w:tcW w:w="5946" w:type="dxa"/>
            <w:tcMar>
              <w:top w:w="0" w:type="dxa"/>
              <w:left w:w="0" w:type="dxa"/>
              <w:bottom w:w="0" w:type="dxa"/>
              <w:right w:w="0" w:type="dxa"/>
            </w:tcMar>
            <w:vAlign w:val="center"/>
          </w:tcPr>
          <w:p w14:paraId="134606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p>
        </w:tc>
      </w:tr>
      <w:tr w14:paraId="0A33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3DDB3991">
            <w:pPr>
              <w:widowControl w:val="0"/>
              <w:kinsoku/>
              <w:snapToGrid/>
              <w:jc w:val="center"/>
              <w:textAlignment w:val="auto"/>
              <w:rPr>
                <w:rFonts w:hint="default" w:ascii="Times New Roman" w:hAnsi="Times New Roman" w:eastAsia="黑体" w:cs="Times New Roman"/>
                <w:snapToGrid/>
                <w:color w:val="auto"/>
                <w:sz w:val="28"/>
                <w:szCs w:val="28"/>
              </w:rPr>
            </w:pPr>
            <w:r>
              <w:rPr>
                <w:rFonts w:hint="default" w:ascii="Times New Roman" w:hAnsi="Times New Roman" w:eastAsia="黑体" w:cs="Times New Roman"/>
                <w:snapToGrid/>
                <w:color w:val="auto"/>
                <w:sz w:val="28"/>
                <w:szCs w:val="28"/>
              </w:rPr>
              <w:t>3</w:t>
            </w:r>
          </w:p>
        </w:tc>
        <w:tc>
          <w:tcPr>
            <w:tcW w:w="5946" w:type="dxa"/>
            <w:tcMar>
              <w:top w:w="0" w:type="dxa"/>
              <w:left w:w="0" w:type="dxa"/>
              <w:bottom w:w="0" w:type="dxa"/>
              <w:right w:w="0" w:type="dxa"/>
            </w:tcMar>
            <w:vAlign w:val="center"/>
          </w:tcPr>
          <w:p w14:paraId="1E3C4B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p>
        </w:tc>
      </w:tr>
      <w:tr w14:paraId="23B5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71550967">
            <w:pPr>
              <w:widowControl w:val="0"/>
              <w:kinsoku/>
              <w:snapToGrid/>
              <w:jc w:val="center"/>
              <w:textAlignment w:val="auto"/>
              <w:rPr>
                <w:rFonts w:hint="default" w:ascii="Times New Roman" w:hAnsi="Times New Roman" w:eastAsia="黑体" w:cs="Times New Roman"/>
                <w:snapToGrid/>
                <w:color w:val="auto"/>
                <w:sz w:val="28"/>
                <w:szCs w:val="28"/>
              </w:rPr>
            </w:pPr>
            <w:r>
              <w:rPr>
                <w:rFonts w:hint="default" w:ascii="Times New Roman" w:hAnsi="Times New Roman" w:eastAsia="黑体" w:cs="Times New Roman"/>
                <w:snapToGrid/>
                <w:color w:val="auto"/>
                <w:sz w:val="28"/>
                <w:szCs w:val="28"/>
              </w:rPr>
              <w:t>4</w:t>
            </w:r>
          </w:p>
        </w:tc>
        <w:tc>
          <w:tcPr>
            <w:tcW w:w="5946" w:type="dxa"/>
            <w:tcMar>
              <w:top w:w="0" w:type="dxa"/>
              <w:left w:w="0" w:type="dxa"/>
              <w:bottom w:w="0" w:type="dxa"/>
              <w:right w:w="0" w:type="dxa"/>
            </w:tcMar>
            <w:vAlign w:val="center"/>
          </w:tcPr>
          <w:p w14:paraId="66569C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p>
        </w:tc>
      </w:tr>
      <w:tr w14:paraId="70F8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117E5240">
            <w:pPr>
              <w:widowControl w:val="0"/>
              <w:kinsoku/>
              <w:snapToGrid/>
              <w:jc w:val="center"/>
              <w:textAlignment w:val="auto"/>
              <w:rPr>
                <w:rFonts w:hint="default" w:ascii="Times New Roman" w:hAnsi="Times New Roman" w:eastAsia="黑体" w:cs="Times New Roman"/>
                <w:snapToGrid/>
                <w:color w:val="auto"/>
                <w:sz w:val="28"/>
                <w:szCs w:val="28"/>
              </w:rPr>
            </w:pPr>
            <w:r>
              <w:rPr>
                <w:rFonts w:hint="default" w:ascii="Times New Roman" w:hAnsi="Times New Roman" w:eastAsia="黑体" w:cs="Times New Roman"/>
                <w:snapToGrid/>
                <w:color w:val="auto"/>
                <w:sz w:val="28"/>
                <w:szCs w:val="28"/>
              </w:rPr>
              <w:t>5</w:t>
            </w:r>
          </w:p>
        </w:tc>
        <w:tc>
          <w:tcPr>
            <w:tcW w:w="5946" w:type="dxa"/>
            <w:tcMar>
              <w:top w:w="0" w:type="dxa"/>
              <w:left w:w="0" w:type="dxa"/>
              <w:bottom w:w="0" w:type="dxa"/>
              <w:right w:w="0" w:type="dxa"/>
            </w:tcMar>
            <w:vAlign w:val="center"/>
          </w:tcPr>
          <w:p w14:paraId="362628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Neue"/>
                <w:snapToGrid/>
                <w:color w:val="auto"/>
                <w:sz w:val="28"/>
                <w:szCs w:val="28"/>
              </w:rPr>
            </w:pPr>
          </w:p>
        </w:tc>
      </w:tr>
      <w:tr w14:paraId="7C66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8" w:type="dxa"/>
            <w:gridSpan w:val="2"/>
            <w:tcMar>
              <w:top w:w="0" w:type="dxa"/>
              <w:left w:w="0" w:type="dxa"/>
              <w:bottom w:w="0" w:type="dxa"/>
              <w:right w:w="0" w:type="dxa"/>
            </w:tcMar>
            <w:vAlign w:val="center"/>
          </w:tcPr>
          <w:p w14:paraId="664EE9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snapToGrid/>
              <w:textAlignment w:val="auto"/>
              <w:rPr>
                <w:rFonts w:ascii="黑体" w:hAnsi="黑体" w:eastAsia="黑体" w:cs="Helvetica"/>
                <w:snapToGrid/>
                <w:color w:val="auto"/>
                <w:sz w:val="28"/>
                <w:szCs w:val="28"/>
              </w:rPr>
            </w:pPr>
            <w:r>
              <w:rPr>
                <w:rFonts w:ascii="黑体" w:hAnsi="黑体" w:eastAsia="黑体" w:cs="Helvetica"/>
                <w:snapToGrid/>
                <w:color w:val="auto"/>
                <w:sz w:val="28"/>
                <w:szCs w:val="28"/>
              </w:rPr>
              <w:t>七、报送单位意见</w:t>
            </w:r>
          </w:p>
        </w:tc>
      </w:tr>
      <w:tr w14:paraId="35946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2" w:type="dxa"/>
            <w:tcMar>
              <w:top w:w="0" w:type="dxa"/>
              <w:left w:w="0" w:type="dxa"/>
              <w:bottom w:w="0" w:type="dxa"/>
              <w:right w:w="0" w:type="dxa"/>
            </w:tcMar>
            <w:vAlign w:val="center"/>
          </w:tcPr>
          <w:p w14:paraId="7F963D7A">
            <w:pPr>
              <w:widowControl w:val="0"/>
              <w:kinsoku/>
              <w:snapToGrid/>
              <w:jc w:val="center"/>
              <w:textAlignment w:val="auto"/>
              <w:rPr>
                <w:rFonts w:ascii="黑体" w:hAnsi="黑体" w:eastAsia="黑体" w:cs="Helvetica"/>
                <w:snapToGrid/>
                <w:color w:val="auto"/>
                <w:sz w:val="28"/>
                <w:szCs w:val="28"/>
              </w:rPr>
            </w:pPr>
            <w:r>
              <w:rPr>
                <w:rFonts w:hint="eastAsia" w:ascii="黑体" w:hAnsi="黑体" w:eastAsia="黑体" w:cs="pingfang sc"/>
                <w:snapToGrid/>
                <w:color w:val="auto"/>
                <w:sz w:val="28"/>
                <w:szCs w:val="28"/>
              </w:rPr>
              <w:t>报送单位意见</w:t>
            </w:r>
          </w:p>
        </w:tc>
        <w:tc>
          <w:tcPr>
            <w:tcW w:w="5946" w:type="dxa"/>
            <w:tcMar>
              <w:top w:w="0" w:type="dxa"/>
              <w:left w:w="0" w:type="dxa"/>
              <w:bottom w:w="0" w:type="dxa"/>
              <w:right w:w="0" w:type="dxa"/>
            </w:tcMar>
            <w:vAlign w:val="center"/>
          </w:tcPr>
          <w:p w14:paraId="41C17438">
            <w:pPr>
              <w:widowControl w:val="0"/>
              <w:kinsoku/>
              <w:snapToGrid/>
              <w:ind w:firstLine="560" w:firstLineChars="200"/>
              <w:textAlignment w:val="auto"/>
              <w:rPr>
                <w:rFonts w:ascii="仿宋_GB2312" w:hAnsi="仿宋_GB2312" w:eastAsia="仿宋_GB2312" w:cs="Helvetica"/>
                <w:snapToGrid/>
                <w:color w:val="auto"/>
                <w:sz w:val="28"/>
                <w:szCs w:val="28"/>
              </w:rPr>
            </w:pPr>
            <w:r>
              <w:rPr>
                <w:rFonts w:hint="eastAsia" w:ascii="仿宋_GB2312" w:hAnsi="仿宋_GB2312" w:eastAsia="仿宋_GB2312" w:cs="pingfang sc"/>
                <w:snapToGrid/>
                <w:color w:val="auto"/>
                <w:sz w:val="28"/>
                <w:szCs w:val="28"/>
              </w:rPr>
              <w:t>本单位确认所报送案例材料真实、合法、完整、有效，同意按照通知要求报送，并同意中国检验检测学会在案例汇编、官方渠道展示、经验交流、培训宣贯等非营利性工作中使用相关材料。</w:t>
            </w:r>
          </w:p>
        </w:tc>
      </w:tr>
      <w:tr w14:paraId="1999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8748" w:type="dxa"/>
            <w:gridSpan w:val="2"/>
            <w:tcMar>
              <w:top w:w="0" w:type="dxa"/>
              <w:left w:w="0" w:type="dxa"/>
              <w:bottom w:w="0" w:type="dxa"/>
              <w:right w:w="0" w:type="dxa"/>
            </w:tcMar>
            <w:vAlign w:val="center"/>
          </w:tcPr>
          <w:p w14:paraId="20DB2DE6">
            <w:pPr>
              <w:widowControl w:val="0"/>
              <w:kinsoku/>
              <w:snapToGrid/>
              <w:jc w:val="center"/>
              <w:textAlignment w:val="auto"/>
              <w:rPr>
                <w:rFonts w:ascii="黑体" w:hAnsi="黑体" w:eastAsia="黑体" w:cs="pingfang sc"/>
                <w:snapToGrid/>
                <w:color w:val="auto"/>
                <w:sz w:val="28"/>
                <w:szCs w:val="28"/>
              </w:rPr>
            </w:pPr>
          </w:p>
          <w:p w14:paraId="6B25F49A">
            <w:pPr>
              <w:widowControl w:val="0"/>
              <w:kinsoku/>
              <w:snapToGrid/>
              <w:jc w:val="center"/>
              <w:textAlignment w:val="auto"/>
              <w:rPr>
                <w:rFonts w:hint="eastAsia" w:ascii="黑体" w:hAnsi="黑体" w:eastAsia="黑体" w:cs="Helvetica"/>
                <w:snapToGrid/>
                <w:color w:val="auto"/>
                <w:sz w:val="28"/>
                <w:szCs w:val="28"/>
              </w:rPr>
            </w:pPr>
            <w:r>
              <w:rPr>
                <w:rFonts w:hint="eastAsia" w:ascii="黑体" w:hAnsi="黑体" w:eastAsia="黑体" w:cs="pingfang sc"/>
                <w:snapToGrid/>
                <w:color w:val="auto"/>
                <w:sz w:val="28"/>
                <w:szCs w:val="28"/>
              </w:rPr>
              <w:t>报送单位盖章：</w:t>
            </w:r>
          </w:p>
          <w:p w14:paraId="6B945E28">
            <w:pPr>
              <w:widowControl w:val="0"/>
              <w:ind w:firstLine="5040" w:firstLineChars="1800"/>
              <w:rPr>
                <w:rFonts w:ascii="黑体" w:hAnsi="黑体" w:eastAsia="黑体" w:cs="pingfang sc"/>
                <w:snapToGrid/>
                <w:color w:val="auto"/>
                <w:sz w:val="28"/>
                <w:szCs w:val="28"/>
              </w:rPr>
            </w:pPr>
            <w:r>
              <w:rPr>
                <w:rFonts w:hint="eastAsia" w:ascii="黑体" w:hAnsi="黑体" w:eastAsia="黑体" w:cs="pingfang sc"/>
                <w:snapToGrid/>
                <w:color w:val="auto"/>
                <w:sz w:val="28"/>
                <w:szCs w:val="28"/>
              </w:rPr>
              <w:t>年</w:t>
            </w:r>
            <w:r>
              <w:rPr>
                <w:rFonts w:hint="eastAsia" w:ascii="黑体" w:hAnsi="黑体" w:eastAsia="黑体" w:cs="Helvetica Neue"/>
                <w:snapToGrid/>
                <w:color w:val="auto"/>
                <w:sz w:val="28"/>
                <w:szCs w:val="28"/>
              </w:rPr>
              <w:t>　　</w:t>
            </w:r>
            <w:r>
              <w:rPr>
                <w:rFonts w:hint="eastAsia" w:ascii="黑体" w:hAnsi="黑体" w:eastAsia="黑体" w:cs="pingfang sc"/>
                <w:snapToGrid/>
                <w:color w:val="auto"/>
                <w:sz w:val="28"/>
                <w:szCs w:val="28"/>
              </w:rPr>
              <w:t>月</w:t>
            </w:r>
            <w:r>
              <w:rPr>
                <w:rFonts w:hint="eastAsia" w:ascii="黑体" w:hAnsi="黑体" w:eastAsia="黑体" w:cs="Helvetica Neue"/>
                <w:snapToGrid/>
                <w:color w:val="auto"/>
                <w:sz w:val="28"/>
                <w:szCs w:val="28"/>
              </w:rPr>
              <w:t>　　</w:t>
            </w:r>
            <w:r>
              <w:rPr>
                <w:rFonts w:hint="eastAsia" w:ascii="黑体" w:hAnsi="黑体" w:eastAsia="黑体" w:cs="pingfang sc"/>
                <w:snapToGrid/>
                <w:color w:val="auto"/>
                <w:sz w:val="28"/>
                <w:szCs w:val="28"/>
              </w:rPr>
              <w:t>日</w:t>
            </w:r>
          </w:p>
          <w:p w14:paraId="7E18D467">
            <w:pPr>
              <w:widowControl w:val="0"/>
              <w:ind w:firstLine="280" w:firstLineChars="100"/>
              <w:rPr>
                <w:rFonts w:ascii="黑体" w:hAnsi="黑体" w:eastAsia="黑体" w:cs="Helvetica"/>
                <w:snapToGrid/>
                <w:color w:val="auto"/>
                <w:sz w:val="28"/>
                <w:szCs w:val="28"/>
              </w:rPr>
            </w:pPr>
          </w:p>
        </w:tc>
      </w:tr>
    </w:tbl>
    <w:p w14:paraId="02E08001">
      <w:pPr>
        <w:widowControl w:val="0"/>
        <w:spacing w:line="594" w:lineRule="exact"/>
        <w:jc w:val="both"/>
        <w:rPr>
          <w:rFonts w:ascii="仿宋_GB2312" w:hAnsi="仿宋_GB2312" w:eastAsia="仿宋_GB2312" w:cs="仿宋_GB2312"/>
          <w:snapToGrid/>
          <w:color w:val="000000" w:themeColor="text1"/>
          <w:kern w:val="2"/>
          <w:sz w:val="32"/>
          <w:szCs w:val="32"/>
          <w14:textFill>
            <w14:solidFill>
              <w14:schemeClr w14:val="tx1"/>
            </w14:solidFill>
          </w14:textFill>
        </w:rPr>
      </w:pPr>
    </w:p>
    <w:p w14:paraId="16D9995D">
      <w:pPr>
        <w:widowControl w:val="0"/>
        <w:spacing w:line="594" w:lineRule="exact"/>
        <w:jc w:val="both"/>
        <w:rPr>
          <w:rFonts w:ascii="仿宋_GB2312" w:hAnsi="仿宋_GB2312" w:eastAsia="仿宋_GB2312" w:cs="仿宋_GB2312"/>
          <w:snapToGrid/>
          <w:color w:val="000000" w:themeColor="text1"/>
          <w:kern w:val="2"/>
          <w:sz w:val="32"/>
          <w:szCs w:val="32"/>
          <w14:textFill>
            <w14:solidFill>
              <w14:schemeClr w14:val="tx1"/>
            </w14:solidFill>
          </w14:textFill>
        </w:rPr>
      </w:pPr>
    </w:p>
    <w:p w14:paraId="27DDBBD4">
      <w:pPr>
        <w:widowControl w:val="0"/>
        <w:spacing w:line="594" w:lineRule="exact"/>
        <w:jc w:val="both"/>
        <w:rPr>
          <w:rFonts w:ascii="黑体" w:hAnsi="黑体" w:eastAsia="黑体" w:cs="仿宋_GB2312"/>
          <w:snapToGrid/>
          <w:color w:val="000000" w:themeColor="text1"/>
          <w:kern w:val="2"/>
          <w:sz w:val="32"/>
          <w:szCs w:val="32"/>
          <w14:textFill>
            <w14:solidFill>
              <w14:schemeClr w14:val="tx1"/>
            </w14:solidFill>
          </w14:textFill>
        </w:rPr>
      </w:pPr>
    </w:p>
    <w:p w14:paraId="1E6B42D4">
      <w:pPr>
        <w:widowControl w:val="0"/>
        <w:spacing w:line="594" w:lineRule="exact"/>
        <w:jc w:val="both"/>
        <w:rPr>
          <w:rFonts w:ascii="仿宋_GB2312" w:hAnsi="仿宋_GB2312" w:eastAsia="仿宋_GB2312" w:cs="仿宋_GB2312"/>
          <w:snapToGrid/>
          <w:color w:val="000000" w:themeColor="text1"/>
          <w:kern w:val="2"/>
          <w:sz w:val="32"/>
          <w:szCs w:val="32"/>
          <w14:textFill>
            <w14:solidFill>
              <w14:schemeClr w14:val="tx1"/>
            </w14:solidFill>
          </w14:textFill>
        </w:rPr>
      </w:pPr>
    </w:p>
    <w:p w14:paraId="140DB79C">
      <w:pPr>
        <w:widowControl w:val="0"/>
        <w:spacing w:line="594" w:lineRule="exact"/>
        <w:jc w:val="both"/>
        <w:rPr>
          <w:rFonts w:hint="eastAsia" w:ascii="黑体" w:hAnsi="黑体" w:eastAsia="黑体" w:cs="仿宋_GB2312"/>
          <w:snapToGrid/>
          <w:color w:val="000000" w:themeColor="text1"/>
          <w:kern w:val="2"/>
          <w:sz w:val="32"/>
          <w:szCs w:val="32"/>
          <w14:textFill>
            <w14:solidFill>
              <w14:schemeClr w14:val="tx1"/>
            </w14:solidFill>
          </w14:textFill>
        </w:rPr>
        <w:sectPr>
          <w:headerReference r:id="rId3" w:type="first"/>
          <w:footerReference r:id="rId6" w:type="first"/>
          <w:footerReference r:id="rId4" w:type="default"/>
          <w:footerReference r:id="rId5" w:type="even"/>
          <w:pgSz w:w="11906" w:h="16838"/>
          <w:pgMar w:top="1871" w:right="1446" w:bottom="1871" w:left="1446" w:header="851" w:footer="992" w:gutter="0"/>
          <w:pgNumType w:fmt="decimal"/>
          <w:cols w:space="720" w:num="1"/>
          <w:docGrid w:type="lines" w:linePitch="312" w:charSpace="0"/>
        </w:sectPr>
      </w:pPr>
    </w:p>
    <w:p w14:paraId="59883737">
      <w:pPr>
        <w:widowControl w:val="0"/>
        <w:spacing w:line="594" w:lineRule="exact"/>
        <w:jc w:val="both"/>
        <w:rPr>
          <w:rFonts w:hint="eastAsia" w:ascii="黑体" w:hAnsi="黑体" w:eastAsia="黑体" w:cs="仿宋_GB2312"/>
          <w:snapToGrid/>
          <w:color w:val="000000" w:themeColor="text1"/>
          <w:kern w:val="2"/>
          <w:sz w:val="32"/>
          <w:szCs w:val="32"/>
          <w14:textFill>
            <w14:solidFill>
              <w14:schemeClr w14:val="tx1"/>
            </w14:solidFill>
          </w14:textFill>
        </w:rPr>
      </w:pPr>
      <w:r>
        <w:rPr>
          <w:rFonts w:hint="eastAsia" w:ascii="黑体" w:hAnsi="黑体" w:eastAsia="黑体" w:cs="仿宋_GB2312"/>
          <w:snapToGrid/>
          <w:color w:val="000000" w:themeColor="text1"/>
          <w:kern w:val="2"/>
          <w:sz w:val="32"/>
          <w:szCs w:val="32"/>
          <w14:textFill>
            <w14:solidFill>
              <w14:schemeClr w14:val="tx1"/>
            </w14:solidFill>
          </w14:textFill>
        </w:rPr>
        <w:t>附件</w:t>
      </w:r>
      <w:r>
        <w:rPr>
          <w:rFonts w:hint="default" w:ascii="Times New Roman" w:hAnsi="Times New Roman" w:eastAsia="黑体" w:cs="Times New Roman"/>
          <w:snapToGrid/>
          <w:color w:val="000000" w:themeColor="text1"/>
          <w:kern w:val="2"/>
          <w:sz w:val="32"/>
          <w:szCs w:val="32"/>
          <w14:textFill>
            <w14:solidFill>
              <w14:schemeClr w14:val="tx1"/>
            </w14:solidFill>
          </w14:textFill>
        </w:rPr>
        <w:t>2</w:t>
      </w:r>
    </w:p>
    <w:p w14:paraId="59BB2C12">
      <w:pPr>
        <w:widowControl w:val="0"/>
        <w:spacing w:line="594" w:lineRule="exact"/>
        <w:jc w:val="center"/>
        <w:rPr>
          <w:rFonts w:ascii="方正小标宋简体" w:hAnsi="方正小标宋简体" w:eastAsia="方正小标宋简体" w:cs="仿宋_GB2312"/>
          <w:snapToGrid/>
          <w:color w:val="000000" w:themeColor="text1"/>
          <w:kern w:val="2"/>
          <w:sz w:val="32"/>
          <w:szCs w:val="32"/>
          <w14:textFill>
            <w14:solidFill>
              <w14:schemeClr w14:val="tx1"/>
            </w14:solidFill>
          </w14:textFill>
        </w:rPr>
      </w:pPr>
      <w:r>
        <w:rPr>
          <w:rFonts w:hint="eastAsia" w:ascii="方正小标宋简体" w:hAnsi="方正小标宋简体" w:eastAsia="方正小标宋简体" w:cs="仿宋_GB2312"/>
          <w:snapToGrid/>
          <w:color w:val="000000" w:themeColor="text1"/>
          <w:kern w:val="2"/>
          <w:sz w:val="32"/>
          <w:szCs w:val="32"/>
          <w14:textFill>
            <w14:solidFill>
              <w14:schemeClr w14:val="tx1"/>
            </w14:solidFill>
          </w14:textFill>
        </w:rPr>
        <w:t>团体标准</w:t>
      </w:r>
      <w:r>
        <w:rPr>
          <w:rFonts w:hint="eastAsia" w:ascii="方正小标宋简体" w:hAnsi="方正小标宋简体" w:eastAsia="方正小标宋简体" w:cs="仿宋_GB2312"/>
          <w:snapToGrid/>
          <w:color w:val="000000" w:themeColor="text1"/>
          <w:kern w:val="2"/>
          <w:sz w:val="32"/>
          <w:szCs w:val="32"/>
          <w:lang w:val="en-US" w:eastAsia="zh-CN"/>
          <w14:textFill>
            <w14:solidFill>
              <w14:schemeClr w14:val="tx1"/>
            </w14:solidFill>
          </w14:textFill>
        </w:rPr>
        <w:t>典型应用</w:t>
      </w:r>
      <w:r>
        <w:rPr>
          <w:rFonts w:hint="eastAsia" w:ascii="方正小标宋简体" w:hAnsi="方正小标宋简体" w:eastAsia="方正小标宋简体" w:cs="仿宋_GB2312"/>
          <w:snapToGrid/>
          <w:color w:val="000000" w:themeColor="text1"/>
          <w:kern w:val="2"/>
          <w:sz w:val="32"/>
          <w:szCs w:val="32"/>
          <w14:textFill>
            <w14:solidFill>
              <w14:schemeClr w14:val="tx1"/>
            </w14:solidFill>
          </w14:textFill>
        </w:rPr>
        <w:t>案例编写提纲</w:t>
      </w:r>
    </w:p>
    <w:p w14:paraId="762B2011">
      <w:pPr>
        <w:widowControl w:val="0"/>
        <w:spacing w:line="594" w:lineRule="exact"/>
        <w:ind w:firstLine="640" w:firstLineChars="200"/>
        <w:jc w:val="both"/>
        <w:rPr>
          <w:rFonts w:ascii="黑体" w:hAnsi="黑体" w:eastAsia="黑体" w:cs="仿宋_GB2312"/>
          <w:snapToGrid/>
          <w:color w:val="000000" w:themeColor="text1"/>
          <w:kern w:val="2"/>
          <w:sz w:val="32"/>
          <w:szCs w:val="32"/>
          <w14:textFill>
            <w14:solidFill>
              <w14:schemeClr w14:val="tx1"/>
            </w14:solidFill>
          </w14:textFill>
        </w:rPr>
      </w:pPr>
      <w:r>
        <w:rPr>
          <w:rFonts w:hint="eastAsia" w:ascii="黑体" w:hAnsi="黑体" w:eastAsia="黑体" w:cs="仿宋_GB2312"/>
          <w:snapToGrid/>
          <w:color w:val="000000" w:themeColor="text1"/>
          <w:kern w:val="2"/>
          <w:sz w:val="32"/>
          <w:szCs w:val="32"/>
          <w14:textFill>
            <w14:solidFill>
              <w14:schemeClr w14:val="tx1"/>
            </w14:solidFill>
          </w14:textFill>
        </w:rPr>
        <w:t>一、案例名称</w:t>
      </w:r>
    </w:p>
    <w:p w14:paraId="4A993B35">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案例名称应当简明、准确，能够体现团体标准实施应用的主题和成效。</w:t>
      </w:r>
    </w:p>
    <w:p w14:paraId="500EB21D">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示例：</w:t>
      </w:r>
    </w:p>
    <w:p w14:paraId="3DF070AF">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w:t>
      </w:r>
      <w:r>
        <w:rPr>
          <w:rFonts w:hint="default" w:ascii="Times New Roman" w:hAnsi="Times New Roman" w:eastAsia="仿宋_GB2312" w:cs="Times New Roman"/>
          <w:snapToGrid/>
          <w:color w:val="000000" w:themeColor="text1"/>
          <w:kern w:val="2"/>
          <w:sz w:val="32"/>
          <w:szCs w:val="32"/>
          <w14:textFill>
            <w14:solidFill>
              <w14:schemeClr w14:val="tx1"/>
            </w14:solidFill>
          </w14:textFill>
        </w:rPr>
        <w:t>××××</w:t>
      </w:r>
      <w:r>
        <w:rPr>
          <w:rFonts w:hint="eastAsia" w:ascii="仿宋_GB2312" w:hAnsi="仿宋_GB2312" w:eastAsia="仿宋_GB2312" w:cs="仿宋_GB2312"/>
          <w:snapToGrid/>
          <w:color w:val="000000" w:themeColor="text1"/>
          <w:kern w:val="2"/>
          <w:sz w:val="32"/>
          <w:szCs w:val="32"/>
          <w14:textFill>
            <w14:solidFill>
              <w14:schemeClr w14:val="tx1"/>
            </w14:solidFill>
          </w14:textFill>
        </w:rPr>
        <w:t>》团体标准在</w:t>
      </w:r>
      <w:r>
        <w:rPr>
          <w:rFonts w:hint="default" w:ascii="Times New Roman" w:hAnsi="Times New Roman" w:eastAsia="仿宋_GB2312" w:cs="Times New Roman"/>
          <w:snapToGrid/>
          <w:color w:val="000000" w:themeColor="text1"/>
          <w:kern w:val="2"/>
          <w:sz w:val="32"/>
          <w:szCs w:val="32"/>
          <w14:textFill>
            <w14:solidFill>
              <w14:schemeClr w14:val="tx1"/>
            </w14:solidFill>
          </w14:textFill>
        </w:rPr>
        <w:t>××</w:t>
      </w:r>
      <w:r>
        <w:rPr>
          <w:rFonts w:hint="eastAsia" w:ascii="仿宋_GB2312" w:hAnsi="仿宋_GB2312" w:eastAsia="仿宋_GB2312" w:cs="仿宋_GB2312"/>
          <w:snapToGrid/>
          <w:color w:val="000000" w:themeColor="text1"/>
          <w:kern w:val="2"/>
          <w:sz w:val="32"/>
          <w:szCs w:val="32"/>
          <w14:textFill>
            <w14:solidFill>
              <w14:schemeClr w14:val="tx1"/>
            </w14:solidFill>
          </w14:textFill>
        </w:rPr>
        <w:t>领域检验检测服务能力提升中的应用案例</w:t>
      </w:r>
    </w:p>
    <w:p w14:paraId="3937B628">
      <w:pPr>
        <w:widowControl w:val="0"/>
        <w:spacing w:line="594" w:lineRule="exact"/>
        <w:ind w:firstLine="640" w:firstLineChars="200"/>
        <w:jc w:val="both"/>
        <w:rPr>
          <w:rFonts w:ascii="黑体" w:hAnsi="黑体" w:eastAsia="黑体" w:cs="仿宋_GB2312"/>
          <w:snapToGrid/>
          <w:color w:val="000000" w:themeColor="text1"/>
          <w:kern w:val="2"/>
          <w:sz w:val="32"/>
          <w:szCs w:val="32"/>
          <w14:textFill>
            <w14:solidFill>
              <w14:schemeClr w14:val="tx1"/>
            </w14:solidFill>
          </w14:textFill>
        </w:rPr>
      </w:pPr>
      <w:r>
        <w:rPr>
          <w:rFonts w:hint="eastAsia" w:ascii="黑体" w:hAnsi="黑体" w:eastAsia="黑体" w:cs="仿宋_GB2312"/>
          <w:snapToGrid/>
          <w:color w:val="000000" w:themeColor="text1"/>
          <w:kern w:val="2"/>
          <w:sz w:val="32"/>
          <w:szCs w:val="32"/>
          <w14:textFill>
            <w14:solidFill>
              <w14:schemeClr w14:val="tx1"/>
            </w14:solidFill>
          </w14:textFill>
        </w:rPr>
        <w:t>二、案例摘要</w:t>
      </w:r>
    </w:p>
    <w:p w14:paraId="5DEC6277">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简要概括案例背景、相关团体标准、主要做法、实际成效和推广价值。</w:t>
      </w:r>
    </w:p>
    <w:p w14:paraId="36475AA0">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摘要原则上不超过</w:t>
      </w:r>
      <w:r>
        <w:rPr>
          <w:rFonts w:hint="default" w:ascii="Times New Roman" w:hAnsi="Times New Roman" w:eastAsia="仿宋_GB2312" w:cs="Times New Roman"/>
          <w:snapToGrid/>
          <w:color w:val="000000" w:themeColor="text1"/>
          <w:kern w:val="2"/>
          <w:sz w:val="32"/>
          <w:szCs w:val="32"/>
          <w14:textFill>
            <w14:solidFill>
              <w14:schemeClr w14:val="tx1"/>
            </w14:solidFill>
          </w14:textFill>
        </w:rPr>
        <w:t>300</w:t>
      </w:r>
      <w:r>
        <w:rPr>
          <w:rFonts w:hint="eastAsia" w:ascii="仿宋_GB2312" w:hAnsi="仿宋_GB2312" w:eastAsia="仿宋_GB2312" w:cs="仿宋_GB2312"/>
          <w:snapToGrid/>
          <w:color w:val="000000" w:themeColor="text1"/>
          <w:kern w:val="2"/>
          <w:sz w:val="32"/>
          <w:szCs w:val="32"/>
          <w14:textFill>
            <w14:solidFill>
              <w14:schemeClr w14:val="tx1"/>
            </w14:solidFill>
          </w14:textFill>
        </w:rPr>
        <w:t>字。</w:t>
      </w:r>
    </w:p>
    <w:p w14:paraId="70DD7F47">
      <w:pPr>
        <w:widowControl w:val="0"/>
        <w:spacing w:line="594" w:lineRule="exact"/>
        <w:ind w:firstLine="640" w:firstLineChars="200"/>
        <w:jc w:val="both"/>
        <w:rPr>
          <w:rFonts w:ascii="黑体" w:hAnsi="黑体" w:eastAsia="黑体" w:cs="仿宋_GB2312"/>
          <w:snapToGrid/>
          <w:color w:val="000000" w:themeColor="text1"/>
          <w:kern w:val="2"/>
          <w:sz w:val="32"/>
          <w:szCs w:val="32"/>
          <w14:textFill>
            <w14:solidFill>
              <w14:schemeClr w14:val="tx1"/>
            </w14:solidFill>
          </w14:textFill>
        </w:rPr>
      </w:pPr>
      <w:r>
        <w:rPr>
          <w:rFonts w:hint="eastAsia" w:ascii="黑体" w:hAnsi="黑体" w:eastAsia="黑体" w:cs="仿宋_GB2312"/>
          <w:snapToGrid/>
          <w:color w:val="000000" w:themeColor="text1"/>
          <w:kern w:val="2"/>
          <w:sz w:val="32"/>
          <w:szCs w:val="32"/>
          <w14:textFill>
            <w14:solidFill>
              <w14:schemeClr w14:val="tx1"/>
            </w14:solidFill>
          </w14:textFill>
        </w:rPr>
        <w:t>三、相关团体标准情况</w:t>
      </w:r>
    </w:p>
    <w:p w14:paraId="7C67AF4C">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说明案例涉及的中国检验检测学会已发布团体标准，包括：</w:t>
      </w:r>
    </w:p>
    <w:p w14:paraId="715E6762">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（一）标准编号和名称；</w:t>
      </w:r>
    </w:p>
    <w:p w14:paraId="4FA18EB5">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（二）发布日期和实施日期；</w:t>
      </w:r>
    </w:p>
    <w:p w14:paraId="1D10B53D">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（三）标准主要内容；</w:t>
      </w:r>
    </w:p>
    <w:p w14:paraId="0F4998E6">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（四）标准与案例工作的关系。</w:t>
      </w:r>
    </w:p>
    <w:p w14:paraId="454EDA42">
      <w:pPr>
        <w:widowControl w:val="0"/>
        <w:spacing w:line="594" w:lineRule="exact"/>
        <w:ind w:firstLine="640" w:firstLineChars="200"/>
        <w:jc w:val="both"/>
        <w:rPr>
          <w:rFonts w:ascii="黑体" w:hAnsi="黑体" w:eastAsia="黑体" w:cs="仿宋_GB2312"/>
          <w:snapToGrid/>
          <w:color w:val="000000" w:themeColor="text1"/>
          <w:kern w:val="2"/>
          <w:sz w:val="32"/>
          <w:szCs w:val="32"/>
          <w14:textFill>
            <w14:solidFill>
              <w14:schemeClr w14:val="tx1"/>
            </w14:solidFill>
          </w14:textFill>
        </w:rPr>
      </w:pPr>
      <w:r>
        <w:rPr>
          <w:rFonts w:hint="eastAsia" w:ascii="黑体" w:hAnsi="黑体" w:eastAsia="黑体" w:cs="仿宋_GB2312"/>
          <w:snapToGrid/>
          <w:color w:val="000000" w:themeColor="text1"/>
          <w:kern w:val="2"/>
          <w:sz w:val="32"/>
          <w:szCs w:val="32"/>
          <w14:textFill>
            <w14:solidFill>
              <w14:schemeClr w14:val="tx1"/>
            </w14:solidFill>
          </w14:textFill>
        </w:rPr>
        <w:t>四、工作背景</w:t>
      </w:r>
    </w:p>
    <w:p w14:paraId="3938CC7B">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说明开展该项团体标准化工作的背景和需求，包括：</w:t>
      </w:r>
    </w:p>
    <w:p w14:paraId="56085EAB">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（一）行业痛点或者实际问题；</w:t>
      </w:r>
    </w:p>
    <w:p w14:paraId="48C978FF">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（二）相关技术、管理或者服务需求；</w:t>
      </w:r>
    </w:p>
    <w:p w14:paraId="13F67A90">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（三）标准实施应用前存在的主要困难；</w:t>
      </w:r>
    </w:p>
    <w:p w14:paraId="364AA64B">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（四）开展标准实施应用的必要性。</w:t>
      </w:r>
    </w:p>
    <w:p w14:paraId="316D5B2B">
      <w:pPr>
        <w:widowControl w:val="0"/>
        <w:spacing w:line="594" w:lineRule="exact"/>
        <w:ind w:firstLine="640" w:firstLineChars="200"/>
        <w:jc w:val="both"/>
        <w:rPr>
          <w:rFonts w:ascii="黑体" w:hAnsi="黑体" w:eastAsia="黑体" w:cs="仿宋_GB2312"/>
          <w:snapToGrid/>
          <w:color w:val="000000" w:themeColor="text1"/>
          <w:kern w:val="2"/>
          <w:sz w:val="32"/>
          <w:szCs w:val="32"/>
          <w14:textFill>
            <w14:solidFill>
              <w14:schemeClr w14:val="tx1"/>
            </w14:solidFill>
          </w14:textFill>
        </w:rPr>
      </w:pPr>
      <w:r>
        <w:rPr>
          <w:rFonts w:hint="eastAsia" w:ascii="黑体" w:hAnsi="黑体" w:eastAsia="黑体" w:cs="仿宋_GB2312"/>
          <w:snapToGrid/>
          <w:color w:val="000000" w:themeColor="text1"/>
          <w:kern w:val="2"/>
          <w:sz w:val="32"/>
          <w:szCs w:val="32"/>
          <w14:textFill>
            <w14:solidFill>
              <w14:schemeClr w14:val="tx1"/>
            </w14:solidFill>
          </w14:textFill>
        </w:rPr>
        <w:t>五、主要做法</w:t>
      </w:r>
    </w:p>
    <w:p w14:paraId="41E4C68B">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重点说明团体标准实施应用的具体过程，包括：</w:t>
      </w:r>
    </w:p>
    <w:p w14:paraId="65D26E80">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（一）组织实施方式；</w:t>
      </w:r>
    </w:p>
    <w:p w14:paraId="26CA6AF7">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（二）制度、流程或者技术方案建设情况；</w:t>
      </w:r>
    </w:p>
    <w:p w14:paraId="3667AFDC">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（三）人员培训、能力建设和过程控制情况；</w:t>
      </w:r>
    </w:p>
    <w:p w14:paraId="27C66C9F">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（四）标准条款转化应用情况；</w:t>
      </w:r>
    </w:p>
    <w:p w14:paraId="7DAE85EF">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（五）跨单位、跨行业或者国际交流协同情况；</w:t>
      </w:r>
    </w:p>
    <w:p w14:paraId="6F2E1065">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（六）实施过程中的问题及解决措施。</w:t>
      </w:r>
    </w:p>
    <w:p w14:paraId="48F21C4B">
      <w:pPr>
        <w:widowControl w:val="0"/>
        <w:spacing w:line="594" w:lineRule="exact"/>
        <w:ind w:firstLine="640" w:firstLineChars="200"/>
        <w:jc w:val="both"/>
        <w:rPr>
          <w:rFonts w:ascii="黑体" w:hAnsi="黑体" w:eastAsia="黑体" w:cs="仿宋_GB2312"/>
          <w:snapToGrid/>
          <w:color w:val="000000" w:themeColor="text1"/>
          <w:kern w:val="2"/>
          <w:sz w:val="32"/>
          <w:szCs w:val="32"/>
          <w14:textFill>
            <w14:solidFill>
              <w14:schemeClr w14:val="tx1"/>
            </w14:solidFill>
          </w14:textFill>
        </w:rPr>
      </w:pPr>
      <w:r>
        <w:rPr>
          <w:rFonts w:hint="eastAsia" w:ascii="黑体" w:hAnsi="黑体" w:eastAsia="黑体" w:cs="仿宋_GB2312"/>
          <w:snapToGrid/>
          <w:color w:val="000000" w:themeColor="text1"/>
          <w:kern w:val="2"/>
          <w:sz w:val="32"/>
          <w:szCs w:val="32"/>
          <w14:textFill>
            <w14:solidFill>
              <w14:schemeClr w14:val="tx1"/>
            </w14:solidFill>
          </w14:textFill>
        </w:rPr>
        <w:t>六、创新点</w:t>
      </w:r>
    </w:p>
    <w:p w14:paraId="7BD9EDDC">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说明案例在标准实施应用中的创新性，可从以下方面阐述：</w:t>
      </w:r>
    </w:p>
    <w:p w14:paraId="0419E562">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（一）标准应用模式创新；</w:t>
      </w:r>
    </w:p>
    <w:p w14:paraId="0DECF7A1">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（二）技术方法创新；</w:t>
      </w:r>
    </w:p>
    <w:p w14:paraId="7919C983">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（三）管理制度创新；</w:t>
      </w:r>
    </w:p>
    <w:p w14:paraId="2E5B84AE">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（四）结果采信机制创新；</w:t>
      </w:r>
    </w:p>
    <w:p w14:paraId="4146FD36">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（五）科技成果转化模式创新；</w:t>
      </w:r>
    </w:p>
    <w:p w14:paraId="61086366">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（六）服务产业发展方式创新；</w:t>
      </w:r>
    </w:p>
    <w:p w14:paraId="11784013">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（七）国际交流或者转化应用创新。</w:t>
      </w:r>
    </w:p>
    <w:p w14:paraId="4E061C35">
      <w:pPr>
        <w:widowControl w:val="0"/>
        <w:spacing w:line="594" w:lineRule="exact"/>
        <w:ind w:firstLine="640" w:firstLineChars="200"/>
        <w:jc w:val="both"/>
        <w:rPr>
          <w:rFonts w:ascii="黑体" w:hAnsi="黑体" w:eastAsia="黑体" w:cs="仿宋_GB2312"/>
          <w:snapToGrid/>
          <w:color w:val="000000" w:themeColor="text1"/>
          <w:kern w:val="2"/>
          <w:sz w:val="32"/>
          <w:szCs w:val="32"/>
          <w14:textFill>
            <w14:solidFill>
              <w14:schemeClr w14:val="tx1"/>
            </w14:solidFill>
          </w14:textFill>
        </w:rPr>
      </w:pPr>
      <w:r>
        <w:rPr>
          <w:rFonts w:hint="eastAsia" w:ascii="黑体" w:hAnsi="黑体" w:eastAsia="黑体" w:cs="仿宋_GB2312"/>
          <w:snapToGrid/>
          <w:color w:val="000000" w:themeColor="text1"/>
          <w:kern w:val="2"/>
          <w:sz w:val="32"/>
          <w:szCs w:val="32"/>
          <w14:textFill>
            <w14:solidFill>
              <w14:schemeClr w14:val="tx1"/>
            </w14:solidFill>
          </w14:textFill>
        </w:rPr>
        <w:t>七、实施应用情况</w:t>
      </w:r>
    </w:p>
    <w:p w14:paraId="6F7F8C87">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说明团体标准实际应用范围和实施情况，包括：</w:t>
      </w:r>
    </w:p>
    <w:p w14:paraId="2067905B">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（一）应用单位或者应用场景；</w:t>
      </w:r>
    </w:p>
    <w:p w14:paraId="59B05E79">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（二）应用时间；</w:t>
      </w:r>
    </w:p>
    <w:p w14:paraId="36472C2A">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（三）应用对象；</w:t>
      </w:r>
    </w:p>
    <w:p w14:paraId="2D12B402">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（四）应用范围；</w:t>
      </w:r>
    </w:p>
    <w:p w14:paraId="305E0C2B">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（五）应用频次或者覆盖情况；</w:t>
      </w:r>
    </w:p>
    <w:p w14:paraId="52C9D9BD">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（六）与原有工作模式的变化对比。</w:t>
      </w:r>
    </w:p>
    <w:p w14:paraId="0E69656D">
      <w:pPr>
        <w:widowControl w:val="0"/>
        <w:spacing w:line="594" w:lineRule="exact"/>
        <w:ind w:firstLine="640" w:firstLineChars="200"/>
        <w:jc w:val="both"/>
        <w:rPr>
          <w:rFonts w:ascii="黑体" w:hAnsi="黑体" w:eastAsia="黑体" w:cs="仿宋_GB2312"/>
          <w:snapToGrid/>
          <w:color w:val="000000" w:themeColor="text1"/>
          <w:kern w:val="2"/>
          <w:sz w:val="32"/>
          <w:szCs w:val="32"/>
          <w14:textFill>
            <w14:solidFill>
              <w14:schemeClr w14:val="tx1"/>
            </w14:solidFill>
          </w14:textFill>
        </w:rPr>
      </w:pPr>
      <w:r>
        <w:rPr>
          <w:rFonts w:hint="eastAsia" w:ascii="黑体" w:hAnsi="黑体" w:eastAsia="黑体" w:cs="仿宋_GB2312"/>
          <w:snapToGrid/>
          <w:color w:val="000000" w:themeColor="text1"/>
          <w:kern w:val="2"/>
          <w:sz w:val="32"/>
          <w:szCs w:val="32"/>
          <w14:textFill>
            <w14:solidFill>
              <w14:schemeClr w14:val="tx1"/>
            </w14:solidFill>
          </w14:textFill>
        </w:rPr>
        <w:t>八、取得成效</w:t>
      </w:r>
    </w:p>
    <w:p w14:paraId="7769DF59">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重点说明团体标准实施应用后的实际成效。可从以下方面展开：</w:t>
      </w:r>
    </w:p>
    <w:p w14:paraId="195D88F4">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（一）解决行业痛点或者实际问题的情况；</w:t>
      </w:r>
    </w:p>
    <w:p w14:paraId="3B9DFDF7">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（二）提升检验检测服务质量和管理水平的情况；</w:t>
      </w:r>
    </w:p>
    <w:p w14:paraId="008E201E">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（三）促进检验检测结果采信、互认或者应用的情况；</w:t>
      </w:r>
    </w:p>
    <w:p w14:paraId="06B7B3B6">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（四）支撑科技成果转化、产品质量提升或者产业发展的情况；</w:t>
      </w:r>
    </w:p>
    <w:p w14:paraId="17E1B2E2">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（五）提升人员能力、机构能力或者行业治理能力的情况；</w:t>
      </w:r>
    </w:p>
    <w:p w14:paraId="03160450">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（六）经济效益、社会效益、质量效益或者生态效益；</w:t>
      </w:r>
    </w:p>
    <w:p w14:paraId="51DEFE48">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（七）国际交流、国际合作或者国外应用情况。</w:t>
      </w:r>
    </w:p>
    <w:p w14:paraId="2F09D026">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涉及数据的，应当说明数据来源、统计口径和计算方法。</w:t>
      </w:r>
    </w:p>
    <w:p w14:paraId="1FDAD020">
      <w:pPr>
        <w:widowControl w:val="0"/>
        <w:spacing w:line="594" w:lineRule="exact"/>
        <w:ind w:firstLine="640" w:firstLineChars="200"/>
        <w:jc w:val="both"/>
        <w:rPr>
          <w:rFonts w:ascii="黑体" w:hAnsi="黑体" w:eastAsia="黑体" w:cs="仿宋_GB2312"/>
          <w:snapToGrid/>
          <w:color w:val="000000" w:themeColor="text1"/>
          <w:kern w:val="2"/>
          <w:sz w:val="32"/>
          <w:szCs w:val="32"/>
          <w14:textFill>
            <w14:solidFill>
              <w14:schemeClr w14:val="tx1"/>
            </w14:solidFill>
          </w14:textFill>
        </w:rPr>
      </w:pPr>
      <w:r>
        <w:rPr>
          <w:rFonts w:hint="eastAsia" w:ascii="黑体" w:hAnsi="黑体" w:eastAsia="黑体" w:cs="仿宋_GB2312"/>
          <w:snapToGrid/>
          <w:color w:val="000000" w:themeColor="text1"/>
          <w:kern w:val="2"/>
          <w:sz w:val="32"/>
          <w:szCs w:val="32"/>
          <w14:textFill>
            <w14:solidFill>
              <w14:schemeClr w14:val="tx1"/>
            </w14:solidFill>
          </w14:textFill>
        </w:rPr>
        <w:t>九、可复制推广经验</w:t>
      </w:r>
    </w:p>
    <w:p w14:paraId="3971C1C5">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总结案例中具有推广价值的经验做法，包括：</w:t>
      </w:r>
    </w:p>
    <w:p w14:paraId="7D7795F0">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（一）适用条件；</w:t>
      </w:r>
    </w:p>
    <w:p w14:paraId="37955E06">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（二）实施路径；</w:t>
      </w:r>
    </w:p>
    <w:p w14:paraId="4ACC441B">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（三）关键控制点；</w:t>
      </w:r>
    </w:p>
    <w:p w14:paraId="4EFDFE2B">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（四）风险防范措施；</w:t>
      </w:r>
    </w:p>
    <w:p w14:paraId="54963B3F">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（五）推广应用建议。</w:t>
      </w:r>
    </w:p>
    <w:p w14:paraId="7C37DBBC">
      <w:pPr>
        <w:widowControl w:val="0"/>
        <w:spacing w:line="594" w:lineRule="exact"/>
        <w:ind w:firstLine="640" w:firstLineChars="200"/>
        <w:jc w:val="both"/>
        <w:rPr>
          <w:rFonts w:ascii="黑体" w:hAnsi="黑体" w:eastAsia="黑体" w:cs="仿宋_GB2312"/>
          <w:snapToGrid/>
          <w:color w:val="000000" w:themeColor="text1"/>
          <w:kern w:val="2"/>
          <w:sz w:val="32"/>
          <w:szCs w:val="32"/>
          <w14:textFill>
            <w14:solidFill>
              <w14:schemeClr w14:val="tx1"/>
            </w14:solidFill>
          </w14:textFill>
        </w:rPr>
      </w:pPr>
      <w:r>
        <w:rPr>
          <w:rFonts w:hint="eastAsia" w:ascii="黑体" w:hAnsi="黑体" w:eastAsia="黑体" w:cs="仿宋_GB2312"/>
          <w:snapToGrid/>
          <w:color w:val="000000" w:themeColor="text1"/>
          <w:kern w:val="2"/>
          <w:sz w:val="32"/>
          <w:szCs w:val="32"/>
          <w14:textFill>
            <w14:solidFill>
              <w14:schemeClr w14:val="tx1"/>
            </w14:solidFill>
          </w14:textFill>
        </w:rPr>
        <w:t>十、佐证材料</w:t>
      </w:r>
    </w:p>
    <w:p w14:paraId="5C27A060">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可附以下材料：</w:t>
      </w:r>
    </w:p>
    <w:p w14:paraId="5451429A">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（一）标准实施应用记录；</w:t>
      </w:r>
    </w:p>
    <w:p w14:paraId="08B4EEB2">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（二）制度文件、实施方案、工作报告；</w:t>
      </w:r>
    </w:p>
    <w:p w14:paraId="136C2617">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（三）检测报告、评价报告、采信文件；</w:t>
      </w:r>
    </w:p>
    <w:p w14:paraId="130321D6">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（四）科技成果转化或者产业应用证明；</w:t>
      </w:r>
    </w:p>
    <w:p w14:paraId="2AD9AE7A">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（五）用户反馈、应用单位证明、第三方证明；</w:t>
      </w:r>
    </w:p>
    <w:p w14:paraId="0EAC2651">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（六）新闻报道、会议材料、培训材料；</w:t>
      </w:r>
    </w:p>
    <w:p w14:paraId="75747D93">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（七）图片、图表、数据说明；</w:t>
      </w:r>
    </w:p>
    <w:p w14:paraId="3D74EDB0">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（八）其他能够证明案例真实性和成效的材料。</w:t>
      </w:r>
    </w:p>
    <w:p w14:paraId="08279AB4">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涉及敏感信息的，应当进行脱敏处理。</w:t>
      </w:r>
    </w:p>
    <w:p w14:paraId="72669772">
      <w:pPr>
        <w:widowControl w:val="0"/>
        <w:tabs>
          <w:tab w:val="left" w:pos="7560"/>
        </w:tabs>
        <w:spacing w:line="594" w:lineRule="exact"/>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ascii="仿宋_GB2312" w:hAnsi="仿宋_GB2312" w:eastAsia="仿宋_GB2312" w:cs="仿宋_GB2312"/>
          <w:snapToGrid/>
          <w:color w:val="000000" w:themeColor="text1"/>
          <w:kern w:val="2"/>
          <w:sz w:val="32"/>
          <w:szCs w:val="32"/>
          <w14:textFill>
            <w14:solidFill>
              <w14:schemeClr w14:val="tx1"/>
            </w14:solidFill>
          </w14:textFill>
        </w:rPr>
        <w:tab/>
      </w:r>
    </w:p>
    <w:p w14:paraId="64CCE91F">
      <w:pPr>
        <w:widowControl w:val="0"/>
        <w:spacing w:line="594" w:lineRule="exact"/>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ascii="仿宋_GB2312" w:hAnsi="仿宋_GB2312" w:eastAsia="仿宋_GB2312" w:cs="仿宋_GB2312"/>
          <w:snapToGrid/>
          <w:color w:val="000000" w:themeColor="text1"/>
          <w:kern w:val="2"/>
          <w:sz w:val="32"/>
          <w:szCs w:val="32"/>
          <w14:textFill>
            <w14:solidFill>
              <w14:schemeClr w14:val="tx1"/>
            </w14:solidFill>
          </w14:textFill>
        </w:rPr>
        <w:t>⸻</w:t>
      </w:r>
    </w:p>
    <w:p w14:paraId="24183C14">
      <w:pPr>
        <w:widowControl w:val="0"/>
        <w:spacing w:line="594" w:lineRule="exact"/>
        <w:jc w:val="both"/>
        <w:rPr>
          <w:rFonts w:ascii="仿宋_GB2312" w:hAnsi="仿宋_GB2312" w:eastAsia="仿宋_GB2312" w:cs="仿宋_GB2312"/>
          <w:snapToGrid/>
          <w:color w:val="000000" w:themeColor="text1"/>
          <w:kern w:val="2"/>
          <w:sz w:val="32"/>
          <w:szCs w:val="32"/>
          <w14:textFill>
            <w14:solidFill>
              <w14:schemeClr w14:val="tx1"/>
            </w14:solidFill>
          </w14:textFill>
        </w:rPr>
      </w:pPr>
    </w:p>
    <w:p w14:paraId="15534A58">
      <w:pPr>
        <w:widowControl w:val="0"/>
        <w:spacing w:line="594" w:lineRule="exact"/>
        <w:jc w:val="both"/>
        <w:rPr>
          <w:rFonts w:ascii="仿宋_GB2312" w:hAnsi="仿宋_GB2312" w:eastAsia="仿宋_GB2312" w:cs="仿宋_GB2312"/>
          <w:snapToGrid/>
          <w:color w:val="000000" w:themeColor="text1"/>
          <w:kern w:val="2"/>
          <w:sz w:val="32"/>
          <w:szCs w:val="32"/>
          <w14:textFill>
            <w14:solidFill>
              <w14:schemeClr w14:val="tx1"/>
            </w14:solidFill>
          </w14:textFill>
        </w:rPr>
      </w:pPr>
    </w:p>
    <w:p w14:paraId="3EF3646E">
      <w:pPr>
        <w:widowControl w:val="0"/>
        <w:spacing w:line="594" w:lineRule="exact"/>
        <w:jc w:val="both"/>
        <w:rPr>
          <w:rFonts w:ascii="仿宋_GB2312" w:hAnsi="仿宋_GB2312" w:eastAsia="仿宋_GB2312" w:cs="仿宋_GB2312"/>
          <w:snapToGrid/>
          <w:color w:val="000000" w:themeColor="text1"/>
          <w:kern w:val="2"/>
          <w:sz w:val="32"/>
          <w:szCs w:val="32"/>
          <w14:textFill>
            <w14:solidFill>
              <w14:schemeClr w14:val="tx1"/>
            </w14:solidFill>
          </w14:textFill>
        </w:rPr>
      </w:pPr>
    </w:p>
    <w:p w14:paraId="076AC5A7">
      <w:pPr>
        <w:widowControl w:val="0"/>
        <w:spacing w:line="594" w:lineRule="exact"/>
        <w:jc w:val="both"/>
        <w:rPr>
          <w:rFonts w:ascii="仿宋_GB2312" w:hAnsi="仿宋_GB2312" w:eastAsia="仿宋_GB2312" w:cs="仿宋_GB2312"/>
          <w:snapToGrid/>
          <w:color w:val="000000" w:themeColor="text1"/>
          <w:kern w:val="2"/>
          <w:sz w:val="32"/>
          <w:szCs w:val="32"/>
          <w14:textFill>
            <w14:solidFill>
              <w14:schemeClr w14:val="tx1"/>
            </w14:solidFill>
          </w14:textFill>
        </w:rPr>
      </w:pPr>
    </w:p>
    <w:p w14:paraId="30D13153">
      <w:pPr>
        <w:widowControl w:val="0"/>
        <w:spacing w:line="594" w:lineRule="exact"/>
        <w:jc w:val="both"/>
        <w:rPr>
          <w:rFonts w:ascii="仿宋_GB2312" w:hAnsi="仿宋_GB2312" w:eastAsia="仿宋_GB2312" w:cs="仿宋_GB2312"/>
          <w:snapToGrid/>
          <w:color w:val="000000" w:themeColor="text1"/>
          <w:kern w:val="2"/>
          <w:sz w:val="32"/>
          <w:szCs w:val="32"/>
          <w14:textFill>
            <w14:solidFill>
              <w14:schemeClr w14:val="tx1"/>
            </w14:solidFill>
          </w14:textFill>
        </w:rPr>
      </w:pPr>
    </w:p>
    <w:p w14:paraId="06603A13">
      <w:pPr>
        <w:widowControl w:val="0"/>
        <w:spacing w:line="594" w:lineRule="exact"/>
        <w:jc w:val="both"/>
        <w:rPr>
          <w:rFonts w:ascii="仿宋_GB2312" w:hAnsi="仿宋_GB2312" w:eastAsia="仿宋_GB2312" w:cs="仿宋_GB2312"/>
          <w:snapToGrid/>
          <w:color w:val="000000" w:themeColor="text1"/>
          <w:kern w:val="2"/>
          <w:sz w:val="32"/>
          <w:szCs w:val="32"/>
          <w14:textFill>
            <w14:solidFill>
              <w14:schemeClr w14:val="tx1"/>
            </w14:solidFill>
          </w14:textFill>
        </w:rPr>
      </w:pPr>
    </w:p>
    <w:p w14:paraId="0F1CD59B">
      <w:pPr>
        <w:widowControl w:val="0"/>
        <w:spacing w:line="594" w:lineRule="exact"/>
        <w:jc w:val="both"/>
        <w:rPr>
          <w:rFonts w:ascii="仿宋_GB2312" w:hAnsi="仿宋_GB2312" w:eastAsia="仿宋_GB2312" w:cs="仿宋_GB2312"/>
          <w:snapToGrid/>
          <w:color w:val="000000" w:themeColor="text1"/>
          <w:kern w:val="2"/>
          <w:sz w:val="32"/>
          <w:szCs w:val="32"/>
          <w14:textFill>
            <w14:solidFill>
              <w14:schemeClr w14:val="tx1"/>
            </w14:solidFill>
          </w14:textFill>
        </w:rPr>
      </w:pPr>
    </w:p>
    <w:p w14:paraId="50C5A1BB">
      <w:pPr>
        <w:widowControl w:val="0"/>
        <w:spacing w:line="594" w:lineRule="exact"/>
        <w:jc w:val="both"/>
        <w:rPr>
          <w:rFonts w:ascii="黑体" w:hAnsi="黑体" w:eastAsia="黑体" w:cs="仿宋_GB2312"/>
          <w:snapToGrid/>
          <w:color w:val="000000" w:themeColor="text1"/>
          <w:kern w:val="2"/>
          <w:sz w:val="32"/>
          <w:szCs w:val="32"/>
          <w14:textFill>
            <w14:solidFill>
              <w14:schemeClr w14:val="tx1"/>
            </w14:solidFill>
          </w14:textFill>
        </w:rPr>
      </w:pPr>
      <w:r>
        <w:rPr>
          <w:rFonts w:hint="eastAsia" w:ascii="黑体" w:hAnsi="黑体" w:eastAsia="黑体" w:cs="仿宋_GB2312"/>
          <w:snapToGrid/>
          <w:color w:val="000000" w:themeColor="text1"/>
          <w:kern w:val="2"/>
          <w:sz w:val="32"/>
          <w:szCs w:val="32"/>
          <w14:textFill>
            <w14:solidFill>
              <w14:schemeClr w14:val="tx1"/>
            </w14:solidFill>
          </w14:textFill>
        </w:rPr>
        <w:t>附件</w:t>
      </w:r>
      <w:r>
        <w:rPr>
          <w:rFonts w:ascii="黑体" w:hAnsi="黑体" w:eastAsia="黑体" w:cs="仿宋_GB2312"/>
          <w:snapToGrid/>
          <w:color w:val="000000" w:themeColor="text1"/>
          <w:kern w:val="2"/>
          <w:sz w:val="32"/>
          <w:szCs w:val="32"/>
          <w14:textFill>
            <w14:solidFill>
              <w14:schemeClr w14:val="tx1"/>
            </w14:solidFill>
          </w14:textFill>
        </w:rPr>
        <w:t>3</w:t>
      </w:r>
    </w:p>
    <w:p w14:paraId="48DA744D">
      <w:pPr>
        <w:widowControl w:val="0"/>
        <w:spacing w:line="594" w:lineRule="exact"/>
        <w:jc w:val="center"/>
        <w:rPr>
          <w:rFonts w:ascii="方正小标宋简体" w:hAnsi="方正小标宋简体" w:eastAsia="方正小标宋简体" w:cs="仿宋_GB2312"/>
          <w:snapToGrid/>
          <w:color w:val="000000" w:themeColor="text1"/>
          <w:kern w:val="2"/>
          <w:sz w:val="32"/>
          <w:szCs w:val="32"/>
          <w14:textFill>
            <w14:solidFill>
              <w14:schemeClr w14:val="tx1"/>
            </w14:solidFill>
          </w14:textFill>
        </w:rPr>
      </w:pPr>
      <w:r>
        <w:rPr>
          <w:rFonts w:ascii="方正小标宋简体" w:hAnsi="方正小标宋简体" w:eastAsia="方正小标宋简体" w:cs="仿宋_GB2312"/>
          <w:snapToGrid/>
          <w:color w:val="000000" w:themeColor="text1"/>
          <w:kern w:val="2"/>
          <w:sz w:val="32"/>
          <w:szCs w:val="32"/>
          <w14:textFill>
            <w14:solidFill>
              <w14:schemeClr w14:val="tx1"/>
            </w14:solidFill>
          </w14:textFill>
        </w:rPr>
        <w:t>案例材料真实性及使用授权</w:t>
      </w:r>
      <w:r>
        <w:rPr>
          <w:rFonts w:hint="eastAsia" w:ascii="方正小标宋简体" w:hAnsi="方正小标宋简体" w:eastAsia="方正小标宋简体" w:cs="仿宋_GB2312"/>
          <w:snapToGrid/>
          <w:color w:val="000000" w:themeColor="text1"/>
          <w:kern w:val="2"/>
          <w:sz w:val="32"/>
          <w:szCs w:val="32"/>
          <w14:textFill>
            <w14:solidFill>
              <w14:schemeClr w14:val="tx1"/>
            </w14:solidFill>
          </w14:textFill>
        </w:rPr>
        <w:t>承诺书</w:t>
      </w:r>
    </w:p>
    <w:p w14:paraId="3FCF7603">
      <w:pPr>
        <w:widowControl w:val="0"/>
        <w:spacing w:line="594" w:lineRule="exact"/>
        <w:jc w:val="both"/>
        <w:rPr>
          <w:rFonts w:ascii="仿宋_GB2312" w:hAnsi="仿宋_GB2312" w:eastAsia="仿宋_GB2312" w:cs="仿宋_GB2312"/>
          <w:snapToGrid/>
          <w:color w:val="000000" w:themeColor="text1"/>
          <w:kern w:val="2"/>
          <w:sz w:val="32"/>
          <w:szCs w:val="32"/>
          <w14:textFill>
            <w14:solidFill>
              <w14:schemeClr w14:val="tx1"/>
            </w14:solidFill>
          </w14:textFill>
        </w:rPr>
      </w:pPr>
    </w:p>
    <w:p w14:paraId="7FAC80FD">
      <w:pPr>
        <w:widowControl w:val="0"/>
        <w:spacing w:line="594" w:lineRule="exact"/>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中国检验检测学会：</w:t>
      </w:r>
    </w:p>
    <w:p w14:paraId="3F993260">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本单位就报送团体标准化工作优秀案例有关事项承诺如下：</w:t>
      </w:r>
    </w:p>
    <w:p w14:paraId="6296EF73">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一、本单位报送的案例材料及相关佐证材料真实、合法、完整、有效，不存在虚构事实、夸大成效、隐瞒重要信息或者提交虚假材料的情形。</w:t>
      </w:r>
    </w:p>
    <w:p w14:paraId="112FB2DB">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二、本单位报送的案例与中国检验检测学会已发布团体标准具有明确关联，且已经形成实际实施应用成效。</w:t>
      </w:r>
    </w:p>
    <w:p w14:paraId="2CFE4E80">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三、本单位确认报送材料不涉及国家秘密；涉及商业秘密、技术秘密、个人信息或者其他敏感信息的，已依法依规进行脱敏处理或者取得相应授权。</w:t>
      </w:r>
    </w:p>
    <w:p w14:paraId="19A16DF4">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四、本单位确认报送材料不侵犯任何第三方的知识产权、商业秘密、个人信息权益或者其他合法权益。如因报送材料产生争议或者法律责任，由本单位依法承担相应责任。</w:t>
      </w:r>
    </w:p>
    <w:p w14:paraId="6B401536">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五、本单位同意中国检验检测学会根据团体标准化工作需要，对报送案例进行形式审查、专业遴选、编辑、摘编、汇编和格式调整。</w:t>
      </w:r>
    </w:p>
    <w:p w14:paraId="1EECF561">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六、本单位同意中国检验检测学会将报送案例用于团体标准化工作优秀案例集编制、学会官方渠道展示、经验交流、培训宣贯等非营利性团体标准化工作。</w:t>
      </w:r>
    </w:p>
    <w:p w14:paraId="3CD58107">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七、本单位承诺不以案例报送、案例遴选、案例展示或者案例汇编为由进行夸大宣传、误导性宣传或者不当商业推广。</w:t>
      </w:r>
    </w:p>
    <w:p w14:paraId="202E8F2B">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p>
    <w:p w14:paraId="03DE22E7">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特此承诺。</w:t>
      </w:r>
    </w:p>
    <w:p w14:paraId="1DA728A1">
      <w:pPr>
        <w:widowControl w:val="0"/>
        <w:spacing w:line="594" w:lineRule="exact"/>
        <w:jc w:val="both"/>
        <w:rPr>
          <w:rFonts w:ascii="仿宋_GB2312" w:hAnsi="仿宋_GB2312" w:eastAsia="仿宋_GB2312" w:cs="仿宋_GB2312"/>
          <w:snapToGrid/>
          <w:color w:val="000000" w:themeColor="text1"/>
          <w:kern w:val="2"/>
          <w:sz w:val="32"/>
          <w:szCs w:val="32"/>
          <w14:textFill>
            <w14:solidFill>
              <w14:schemeClr w14:val="tx1"/>
            </w14:solidFill>
          </w14:textFill>
        </w:rPr>
      </w:pPr>
    </w:p>
    <w:p w14:paraId="76FB8C4A">
      <w:pPr>
        <w:widowControl w:val="0"/>
        <w:spacing w:line="594" w:lineRule="exact"/>
        <w:jc w:val="both"/>
        <w:rPr>
          <w:rFonts w:ascii="仿宋_GB2312" w:hAnsi="仿宋_GB2312" w:eastAsia="仿宋_GB2312" w:cs="仿宋_GB2312"/>
          <w:snapToGrid/>
          <w:color w:val="000000" w:themeColor="text1"/>
          <w:kern w:val="2"/>
          <w:sz w:val="32"/>
          <w:szCs w:val="32"/>
          <w14:textFill>
            <w14:solidFill>
              <w14:schemeClr w14:val="tx1"/>
            </w14:solidFill>
          </w14:textFill>
        </w:rPr>
      </w:pPr>
    </w:p>
    <w:p w14:paraId="334B21EC">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报送单位名称：</w:t>
      </w:r>
    </w:p>
    <w:p w14:paraId="5DE5DC8B">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法定代表人（或授权代表）签名：</w:t>
      </w:r>
    </w:p>
    <w:p w14:paraId="3577C1AF">
      <w:pPr>
        <w:widowControl w:val="0"/>
        <w:spacing w:line="594" w:lineRule="exact"/>
        <w:ind w:firstLine="640" w:firstLineChars="200"/>
        <w:jc w:val="both"/>
        <w:rPr>
          <w:rFonts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报送单位盖章：</w:t>
      </w:r>
    </w:p>
    <w:p w14:paraId="691EB793">
      <w:pPr>
        <w:widowControl w:val="0"/>
        <w:spacing w:line="594" w:lineRule="exact"/>
        <w:ind w:firstLine="640" w:firstLineChars="200"/>
        <w:jc w:val="both"/>
        <w:rPr>
          <w:rFonts w:hint="eastAsia" w:ascii="仿宋_GB2312" w:hAnsi="仿宋_GB2312" w:eastAsia="仿宋_GB2312" w:cs="仿宋_GB2312"/>
          <w:snapToGrid/>
          <w:color w:val="000000" w:themeColor="text1"/>
          <w:kern w:val="2"/>
          <w:sz w:val="32"/>
          <w:szCs w:val="32"/>
          <w14:textFill>
            <w14:solidFill>
              <w14:schemeClr w14:val="tx1"/>
            </w14:solidFill>
          </w14:textFill>
        </w:rPr>
      </w:pPr>
      <w:r>
        <w:rPr>
          <w:rFonts w:hint="eastAsia" w:ascii="仿宋_GB2312" w:hAnsi="仿宋_GB2312" w:eastAsia="仿宋_GB2312" w:cs="仿宋_GB2312"/>
          <w:snapToGrid/>
          <w:color w:val="000000" w:themeColor="text1"/>
          <w:kern w:val="2"/>
          <w:sz w:val="32"/>
          <w:szCs w:val="32"/>
          <w14:textFill>
            <w14:solidFill>
              <w14:schemeClr w14:val="tx1"/>
            </w14:solidFill>
          </w14:textFill>
        </w:rPr>
        <w:t>　　　　年　　月　　日。</w:t>
      </w:r>
    </w:p>
    <w:p w14:paraId="4040A10E">
      <w:bookmarkStart w:id="0" w:name="_GoBack"/>
      <w:bookmarkEnd w:id="0"/>
    </w:p>
    <w:sectPr>
      <w:pgSz w:w="11906" w:h="16838"/>
      <w:pgMar w:top="1871" w:right="1446" w:bottom="1871" w:left="1446"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Helvetica Neue">
    <w:altName w:val="Times New Roman"/>
    <w:panose1 w:val="02000503000000020004"/>
    <w:charset w:val="00"/>
    <w:family w:val="auto"/>
    <w:pitch w:val="default"/>
    <w:sig w:usb0="00000000" w:usb1="00000000" w:usb2="00000010" w:usb3="00000000" w:csb0="00000001" w:csb1="00000000"/>
  </w:font>
  <w:font w:name="Helvetica">
    <w:altName w:val="Arial"/>
    <w:panose1 w:val="00000000000000000000"/>
    <w:charset w:val="00"/>
    <w:family w:val="auto"/>
    <w:pitch w:val="default"/>
    <w:sig w:usb0="00000000" w:usb1="00000000" w:usb2="00000000" w:usb3="00000000" w:csb0="0000019F" w:csb1="00000000"/>
  </w:font>
  <w:font w:name="pingfang sc">
    <w:altName w:val="宋体"/>
    <w:panose1 w:val="020B0604020202020204"/>
    <w:charset w:val="86"/>
    <w:family w:val="auto"/>
    <w:pitch w:val="default"/>
    <w:sig w:usb0="00000000" w:usb1="00000000"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3CA0A">
    <w:pPr>
      <w:pStyle w:val="2"/>
      <w:rPr>
        <w:rFonts w:ascii="宋体" w:hAnsi="宋体" w:eastAsia="宋体"/>
        <w:sz w:val="28"/>
        <w:szCs w:val="28"/>
      </w:rPr>
    </w:pPr>
    <w:r>
      <w:rPr>
        <w:rFonts w:ascii="宋体" w:hAnsi="宋体" w:eastAsia="宋体"/>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A83B3E7">
                          <w:pPr>
                            <w:pStyle w:val="2"/>
                            <w:rPr>
                              <w:rFonts w:ascii="Times New Roman" w:hAnsi="Times New Roman" w:eastAsia="宋体" w:cs="Times New Roman"/>
                              <w:sz w:val="28"/>
                              <w:szCs w:val="28"/>
                            </w:rPr>
                          </w:pPr>
                          <w:r>
                            <w:rPr>
                              <w:rFonts w:ascii="Times New Roman" w:hAnsi="Times New Roman" w:eastAsia="宋体" w:cs="Times New Roman"/>
                              <w:sz w:val="28"/>
                              <w:szCs w:val="28"/>
                            </w:rPr>
                            <w:t xml:space="preserve">— </w:t>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  \* MERGEFORMAT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8</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t xml:space="preserve"> —</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FEnse0QEAAKIDAAAOAAAAAAAAAAEAIAAAAB8BAABk&#10;cnMvZTJvRG9jLnhtbFBLBQYAAAAABgAGAFkBAABiBQAAAAA=&#10;">
              <v:fill on="f" focussize="0,0"/>
              <v:stroke on="f" weight="0.5pt"/>
              <v:imagedata o:title=""/>
              <o:lock v:ext="edit" aspectratio="f"/>
              <v:textbox inset="0mm,0mm,0mm,0mm" style="mso-fit-shape-to-text:t;">
                <w:txbxContent>
                  <w:p w14:paraId="3A83B3E7">
                    <w:pPr>
                      <w:pStyle w:val="2"/>
                      <w:rPr>
                        <w:rFonts w:ascii="Times New Roman" w:hAnsi="Times New Roman" w:eastAsia="宋体" w:cs="Times New Roman"/>
                        <w:sz w:val="28"/>
                        <w:szCs w:val="28"/>
                      </w:rPr>
                    </w:pPr>
                    <w:r>
                      <w:rPr>
                        <w:rFonts w:ascii="Times New Roman" w:hAnsi="Times New Roman" w:eastAsia="宋体" w:cs="Times New Roman"/>
                        <w:sz w:val="28"/>
                        <w:szCs w:val="28"/>
                      </w:rPr>
                      <w:t xml:space="preserve">— </w:t>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  \* MERGEFORMAT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8</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6"/>
      </w:rPr>
      <w:id w:val="98926263"/>
    </w:sdtPr>
    <w:sdtEndPr>
      <w:rPr>
        <w:rStyle w:val="6"/>
      </w:rPr>
    </w:sdtEndPr>
    <w:sdtContent>
      <w:p w14:paraId="46E43C4D">
        <w:pPr>
          <w:pStyle w:val="2"/>
          <w:framePr w:wrap="auto" w:vAnchor="text" w:hAnchor="margin" w:xAlign="center" w:y="1"/>
          <w:rPr>
            <w:rStyle w:val="6"/>
          </w:rPr>
        </w:pPr>
        <w:r>
          <w:rPr>
            <w:rStyle w:val="6"/>
          </w:rPr>
          <w:fldChar w:fldCharType="begin"/>
        </w:r>
        <w:r>
          <w:rPr>
            <w:rStyle w:val="6"/>
          </w:rPr>
          <w:instrText xml:space="preserve"> PAGE </w:instrText>
        </w:r>
        <w:r>
          <w:rPr>
            <w:rStyle w:val="6"/>
          </w:rPr>
          <w:fldChar w:fldCharType="separate"/>
        </w:r>
        <w:r>
          <w:rPr>
            <w:rStyle w:val="6"/>
          </w:rPr>
          <w:t>- 1 -</w:t>
        </w:r>
        <w:r>
          <w:rPr>
            <w:rStyle w:val="6"/>
          </w:rPr>
          <w:fldChar w:fldCharType="end"/>
        </w:r>
      </w:p>
    </w:sdtContent>
  </w:sdt>
  <w:p w14:paraId="3CEA410C">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FD2C6">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7CE5E">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07CE5E">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0DB31">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9E4DE8"/>
    <w:rsid w:val="129E4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2026-05-15T06:08:00Z</dcterms:created>
  <dc:creator>郭飞</dc:creator>
  <cp:lastModifiedBy>郭飞</cp:lastModifiedBy>
  <dcterms:modified xsi:type="dcterms:W3CDTF">2026-05-15T06:08:41Z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DF4C2BE54B8A49EC81C99A062AA24091_11</vt:lpwstr>
  </property>
  <property fmtid="{D5CDD505-2E9C-101B-9397-08002B2CF9AE}" pid="4" name="KSOTemplateDocerSaveRecord">
    <vt:lpwstr>eyJoZGlkIjoiNWI4MzJjMmYwZjE3YWJkNDBkNjVkMWI0OTQwYzY1MzciLCJ1c2VySWQiOiI0NjU5NjczMDQifQ==</vt:lpwstr>
  </property>
</Properties>
</file>